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信阳市浉河区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医疗保障局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行政处罚决定书</w:t>
      </w:r>
    </w:p>
    <w:p>
      <w:pPr>
        <w:wordWrap w:val="0"/>
        <w:snapToGrid w:val="0"/>
        <w:spacing w:before="312" w:beforeLines="100" w:after="312" w:afterLines="100" w:line="52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信浉医保医疗罚〔202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号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当事人：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信阳市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* * * * * *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主体资格证照名称：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医疗机构机构执业许可证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统一社会信用代码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（机构代码）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* * *                    </w:t>
      </w:r>
    </w:p>
    <w:p>
      <w:pPr>
        <w:spacing w:line="500" w:lineRule="exact"/>
        <w:rPr>
          <w:rFonts w:hint="default" w:ascii="仿宋_GB2312" w:hAnsi="仿宋_GB2312" w:eastAsia="仿宋_GB2312" w:cs="仿宋_GB2312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住所（住址）：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* * * * * *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* * *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* * *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身份证（其他有效证件）号码：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* * *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</w:p>
    <w:p>
      <w:pPr>
        <w:spacing w:line="500" w:lineRule="exact"/>
        <w:rPr>
          <w:rFonts w:hint="default" w:ascii="仿宋_GB2312" w:hAnsi="仿宋_GB2312" w:eastAsia="仿宋_GB2312" w:cs="仿宋_GB2312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* * *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* * *</w:t>
      </w:r>
    </w:p>
    <w:p>
      <w:pPr>
        <w:spacing w:line="520" w:lineRule="exact"/>
        <w:ind w:firstLine="562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案件来源：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single"/>
          <w:lang w:val="en-US" w:eastAsia="zh-CN"/>
        </w:rPr>
        <w:t>2021年4月27日，信阳市浉河区医疗保障局接信阳市审计局审计报告（信审报〔2021〕34号）“三、审计发现的主要问题：4.骗取套取医保基金方面显示信阳市* * * * * *涉嫌通过将不可报销药品、耗材、诊疗项目等串换为可报销的方式，套取医疗保险统筹基金38300元。违反了国家医保局办公室、财政部办公厅《关于印发〈欺诈骗取医疗保障基金行为举报奖励暂行办法〉的通知》（医保办发〔2018〕22号）第四条关于“本办法所称的欺诈骗取医疗保障基金行为主要包括：（一）涉及定点医疗机构及其工作人员的欺诈骗保行为。7.串换药品、耗材、物品、诊疗项目等骗取医疗保障基金支出的......”的规定。根据《中华人民共和国社会保险法》第八十七条、第八十八条的规定，责成浉河区人民政府督促区医保局按相关规定作出处罚，并追回多支付的医保基金。”</w:t>
      </w:r>
    </w:p>
    <w:p>
      <w:pPr>
        <w:spacing w:line="520" w:lineRule="exact"/>
        <w:ind w:firstLine="562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调查经过：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经基金监管股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核查，发现信阳市* * * * * *审计报告反馈数据中“医院收费项目编码、医院收费项目名称”与“医保对应收费项目编码、医保对应收费项目名称”显示不一致，对照错误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审计数据指出为丙类自费项目（空调降温费），经核实患者费用清单，实际存在串换收费项目，将空调降温费以（三人间）房间费收取并参与报销。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上述事实，主要有以下证据证明：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现场检查笔录》、《询问调查笔录》及询问调查执法记录仪影像资料、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信阳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>市审计局审计报告》（信审报〔2021〕34号）、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审计报告涉及相关串换项目数据汇总信息、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《医疗机构执业许可证》复印件、法定代表人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* * *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身份证复印件、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法人授权委托书、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现场检查照片打印件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>。</w:t>
      </w:r>
    </w:p>
    <w:p>
      <w:pPr>
        <w:spacing w:line="520" w:lineRule="exact"/>
        <w:ind w:firstLine="562" w:firstLineChars="200"/>
        <w:rPr>
          <w:rFonts w:hint="default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行政处罚告知、听证告知送达及听证权利：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2021年7月2日9时46分，区医保局执法人员在区医保局基金监督管理股办公室向信阳市* * * * * *副院长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* * *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当面送达行政处罚事先告知书及行政处罚听证告知书，并现场告知其听证权利，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* * *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签字接收；信阳市* * * * * *收到本告知书后三日内未主动向我局提出听证申请，逾期视为放弃听证权利。                      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>你（单位）的上述行为已违反《医疗保障基金使用监督管理条例》第三十八条：“定点医药机构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>有下列情形之一的，由医疗保障行政部门责令改正，并可以约谈有关负责人；造成医疗保障基金损失的，责令退回，处造成损失金额1倍以上2倍以下的罚款；拒不改正或者造成严重后果的，责令定点医药机构暂停相关责任部门6个月以上1年以下涉及医疗保障基金使用的医药服务；违反其他法律、行政法规的，由有关主管部门依法处理：（四）串换药品、医用耗材、诊疗项目和服务设施；……”的规定。</w:t>
      </w:r>
    </w:p>
    <w:p>
      <w:pPr>
        <w:spacing w:line="52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依据《中华人民共和国行政处罚法》第二十三条“行政机关实施行政处罚时，应当责令当事人改正或者限期改正违法行为。”的规定，现责令你（单位）停止违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法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行为，立即改正。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>依据《医疗保障基金使用监督管理条例》第三十八条：“定点医药机构有下列情形之一的，由医疗保障行政部门责令改正，并可以约谈有关负责人；造成医疗保障基金损失的，责令退回，处造成损失金额1倍以上2倍以下的罚款；……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>本局决定对你（单位）给予以下行政处罚：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违法金额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倍罚款：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38300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（叁万捌仟叁佰元整）。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你（单位）应当自收到本决定书之日起15日内将罚款金额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38300元（叁万捌仟叁佰元整）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u w:val="none"/>
        </w:rPr>
        <w:t>缴至中国邮政储蓄银行信阳市东方红支行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【户名：信阳市浉河区财政局，账号：941004010010646666】。到期不缴纳罚款的，根据《中华人民共和国行政处罚法》第五十一条第（一）项的规定，每日按罚款数额的3%加处罚款。</w:t>
      </w:r>
    </w:p>
    <w:p>
      <w:pPr>
        <w:keepNext w:val="0"/>
        <w:keepLines w:val="0"/>
        <w:pageBreakBefore w:val="0"/>
        <w:widowControl w:val="0"/>
        <w:tabs>
          <w:tab w:val="left" w:pos="6930"/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你（单位）如不服本决定，可以自收到本决定书之日起六十日内向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u w:val="single"/>
          <w:lang w:val="en-US" w:eastAsia="zh-CN"/>
        </w:rPr>
        <w:t>浉河区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人民政府或者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u w:val="single"/>
          <w:lang w:val="en-US" w:eastAsia="zh-CN"/>
        </w:rPr>
        <w:t>信阳市医疗保障局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申请行政复议，也可以自收到本决定书之日起六个月内依法直接向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 w:color="auto"/>
          <w:lang w:val="en-US" w:eastAsia="zh-CN"/>
        </w:rPr>
        <w:t>浉河区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人民法院提起行政诉讼。逾期不申请行政复议，也不提起行政诉讼，又不履行本处罚决定的，我局将依法申请人民法院强制执行。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信阳市浉河区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医疗保障局</w:t>
      </w:r>
    </w:p>
    <w:p>
      <w:pPr>
        <w:spacing w:line="500" w:lineRule="exact"/>
        <w:ind w:right="640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公 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</w:p>
    <w:p>
      <w:pPr>
        <w:spacing w:line="500" w:lineRule="exact"/>
        <w:ind w:right="640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2021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7月9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  <w:r>
        <w:rPr>
          <w:rFonts w:cs="宋体"/>
          <w:szCs w:val="21"/>
        </w:rPr>
        <w:drawing>
          <wp:inline distT="0" distB="0" distL="114300" distR="114300">
            <wp:extent cx="5571490" cy="20955"/>
            <wp:effectExtent l="0" t="0" r="3810" b="4445"/>
            <wp:docPr id="12" name="图片 16" descr="说明: D:\Users\11\AppData\Local\Temp\ksohtml\wps4AC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6" descr="说明: D:\Users\11\AppData\Local\Temp\ksohtml\wps4ACD.tmp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1490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本文书一式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</w:rPr>
        <w:t>份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eastAsia="zh-CN"/>
        </w:rPr>
        <w:t>，一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份送达，一份归档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86A14"/>
    <w:rsid w:val="01597931"/>
    <w:rsid w:val="01F701B5"/>
    <w:rsid w:val="023B4EEE"/>
    <w:rsid w:val="08021038"/>
    <w:rsid w:val="0CEF46A6"/>
    <w:rsid w:val="0E174215"/>
    <w:rsid w:val="19EE073E"/>
    <w:rsid w:val="1DFE4DA3"/>
    <w:rsid w:val="230A0D3D"/>
    <w:rsid w:val="261C409A"/>
    <w:rsid w:val="27C86A14"/>
    <w:rsid w:val="281F1640"/>
    <w:rsid w:val="2FC30AF9"/>
    <w:rsid w:val="3B44509F"/>
    <w:rsid w:val="44AA2FD8"/>
    <w:rsid w:val="47300432"/>
    <w:rsid w:val="474D693E"/>
    <w:rsid w:val="4B671D85"/>
    <w:rsid w:val="4DA85088"/>
    <w:rsid w:val="4F38424C"/>
    <w:rsid w:val="57860FBF"/>
    <w:rsid w:val="5DFC7057"/>
    <w:rsid w:val="61934956"/>
    <w:rsid w:val="63587F9E"/>
    <w:rsid w:val="6B1D5108"/>
    <w:rsid w:val="6D484E11"/>
    <w:rsid w:val="6DF2636C"/>
    <w:rsid w:val="6EDB1647"/>
    <w:rsid w:val="6F6B421F"/>
    <w:rsid w:val="6FC25AB1"/>
    <w:rsid w:val="7572757C"/>
    <w:rsid w:val="759F673A"/>
    <w:rsid w:val="7E9C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2020-07-06T02:30:00Z</dcterms:created>
  <dc:creator>似墨非玉</dc:creator>
  <cp:lastModifiedBy>荟昕</cp:lastModifiedBy>
  <cp:lastPrinted>2021-07-07T03:06:00Z</cp:lastPrinted>
  <dcterms:modified xsi:type="dcterms:W3CDTF">2021-11-12T08:37:18Z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1D6F203892AB4236B97C26CC047D09A5</vt:lpwstr>
  </property>
</Properties>
</file>