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中共信阳市浉河区委党史研究室</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w:t>
      </w:r>
      <w:r>
        <w:rPr>
          <w:rFonts w:ascii="仿宋" w:hAnsi="仿宋" w:eastAsia="仿宋" w:cs="隶书"/>
          <w:b/>
          <w:sz w:val="52"/>
          <w:szCs w:val="52"/>
        </w:rPr>
        <w:t>1</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b/>
          <w:bCs/>
          <w:sz w:val="32"/>
          <w:szCs w:val="32"/>
        </w:rPr>
      </w:pPr>
      <w:r>
        <w:rPr>
          <w:rFonts w:hint="eastAsia" w:ascii="仿宋" w:hAnsi="仿宋" w:eastAsia="仿宋" w:cs="黑体"/>
          <w:b/>
          <w:bCs/>
          <w:sz w:val="32"/>
          <w:szCs w:val="32"/>
        </w:rPr>
        <w:t>第一部分　　中共信阳市浉河区委党史研究室概况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单位构成</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b/>
          <w:bCs/>
          <w:sz w:val="32"/>
          <w:szCs w:val="32"/>
        </w:rPr>
      </w:pPr>
      <w:r>
        <w:rPr>
          <w:rFonts w:hint="eastAsia" w:ascii="仿宋" w:hAnsi="仿宋" w:eastAsia="仿宋" w:cs="黑体"/>
          <w:b/>
          <w:bCs/>
          <w:sz w:val="32"/>
          <w:szCs w:val="32"/>
        </w:rPr>
        <w:t>第</w:t>
      </w:r>
      <w:r>
        <w:rPr>
          <w:rFonts w:hint="eastAsia" w:ascii="仿宋" w:hAnsi="仿宋" w:eastAsia="仿宋" w:cs="黑体"/>
          <w:b/>
          <w:bCs/>
          <w:sz w:val="32"/>
          <w:szCs w:val="32"/>
          <w:lang w:val="en-US" w:eastAsia="zh-CN"/>
        </w:rPr>
        <w:t>二</w:t>
      </w:r>
      <w:r>
        <w:rPr>
          <w:rFonts w:hint="eastAsia" w:ascii="仿宋" w:hAnsi="仿宋" w:eastAsia="仿宋" w:cs="黑体"/>
          <w:b/>
          <w:bCs/>
          <w:sz w:val="32"/>
          <w:szCs w:val="32"/>
        </w:rPr>
        <w:t>部分 中共信阳市浉河区委党史研究室</w:t>
      </w:r>
      <w:r>
        <w:rPr>
          <w:rFonts w:ascii="仿宋" w:hAnsi="仿宋" w:eastAsia="仿宋" w:cs="黑体"/>
          <w:b/>
          <w:bCs/>
          <w:sz w:val="32"/>
          <w:szCs w:val="32"/>
        </w:rPr>
        <w:t>20</w:t>
      </w:r>
      <w:r>
        <w:rPr>
          <w:rFonts w:hint="eastAsia" w:ascii="仿宋" w:hAnsi="仿宋" w:eastAsia="仿宋" w:cs="黑体"/>
          <w:b/>
          <w:bCs/>
          <w:sz w:val="32"/>
          <w:szCs w:val="32"/>
        </w:rPr>
        <w:t>2</w:t>
      </w:r>
      <w:r>
        <w:rPr>
          <w:rFonts w:ascii="仿宋" w:hAnsi="仿宋" w:eastAsia="仿宋" w:cs="黑体"/>
          <w:b/>
          <w:bCs/>
          <w:sz w:val="32"/>
          <w:szCs w:val="32"/>
        </w:rPr>
        <w:t>1</w:t>
      </w:r>
      <w:r>
        <w:rPr>
          <w:rFonts w:hint="eastAsia" w:ascii="仿宋" w:hAnsi="仿宋" w:eastAsia="仿宋" w:cs="黑体"/>
          <w:b/>
          <w:bCs/>
          <w:sz w:val="32"/>
          <w:szCs w:val="32"/>
        </w:rPr>
        <w:t>年度部门预算情况说明</w:t>
      </w:r>
    </w:p>
    <w:p>
      <w:pPr>
        <w:jc w:val="left"/>
        <w:rPr>
          <w:rFonts w:hint="eastAsia" w:ascii="仿宋" w:hAnsi="仿宋" w:eastAsia="仿宋" w:cs="黑体"/>
          <w:b/>
          <w:bCs/>
          <w:sz w:val="32"/>
          <w:szCs w:val="32"/>
        </w:rPr>
      </w:pPr>
      <w:r>
        <w:rPr>
          <w:rFonts w:hint="eastAsia" w:ascii="仿宋" w:hAnsi="仿宋" w:eastAsia="仿宋" w:cs="黑体"/>
          <w:b/>
          <w:bCs/>
          <w:sz w:val="32"/>
          <w:szCs w:val="32"/>
        </w:rPr>
        <w:t>第</w:t>
      </w:r>
      <w:r>
        <w:rPr>
          <w:rFonts w:hint="eastAsia" w:ascii="仿宋" w:hAnsi="仿宋" w:eastAsia="仿宋" w:cs="黑体"/>
          <w:b/>
          <w:bCs/>
          <w:sz w:val="32"/>
          <w:szCs w:val="32"/>
          <w:lang w:val="en-US" w:eastAsia="zh-CN"/>
        </w:rPr>
        <w:t>三</w:t>
      </w:r>
      <w:r>
        <w:rPr>
          <w:rFonts w:hint="eastAsia" w:ascii="仿宋" w:hAnsi="仿宋" w:eastAsia="仿宋" w:cs="黑体"/>
          <w:b/>
          <w:bCs/>
          <w:sz w:val="32"/>
          <w:szCs w:val="32"/>
        </w:rPr>
        <w:t>部分　　名词解释</w:t>
      </w:r>
    </w:p>
    <w:p>
      <w:pPr>
        <w:jc w:val="left"/>
        <w:rPr>
          <w:rFonts w:hint="eastAsia" w:ascii="仿宋" w:hAnsi="仿宋" w:eastAsia="仿宋" w:cs="黑体"/>
          <w:b/>
          <w:bCs/>
          <w:sz w:val="32"/>
          <w:szCs w:val="32"/>
        </w:rPr>
      </w:pPr>
    </w:p>
    <w:p>
      <w:pPr>
        <w:jc w:val="left"/>
        <w:rPr>
          <w:rFonts w:hint="eastAsia" w:ascii="仿宋" w:hAnsi="仿宋" w:eastAsia="仿宋" w:cs="黑体"/>
          <w:b/>
          <w:bCs/>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b/>
          <w:bCs/>
          <w:sz w:val="32"/>
          <w:szCs w:val="32"/>
        </w:rPr>
        <w:t>附件： 中共信阳市浉河区委党史研究室2021年度部门预算表</w:t>
      </w:r>
      <w:r>
        <w:rPr>
          <w:rFonts w:hint="eastAsia" w:ascii="仿宋" w:hAnsi="仿宋" w:eastAsia="仿宋" w:cs="黑体"/>
          <w:b/>
          <w:bCs/>
          <w:sz w:val="32"/>
          <w:szCs w:val="32"/>
        </w:rPr>
        <w:br w:type="textWrapping"/>
      </w:r>
      <w:r>
        <w:rPr>
          <w:rFonts w:hint="eastAsia" w:ascii="仿宋" w:hAnsi="仿宋" w:eastAsia="仿宋" w:cs="黑体"/>
          <w:b/>
          <w:bCs/>
          <w:sz w:val="32"/>
          <w:szCs w:val="32"/>
        </w:rPr>
        <w:t>一、部门收支总体情况表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二、部门收入总体情况表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三、部门支出总体情况表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四、财政拨款收支总体情况表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五、一般公共预算支出情况表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六、支出经济分类汇总表</w:t>
      </w:r>
      <w:r>
        <w:rPr>
          <w:rFonts w:hint="eastAsia" w:ascii="仿宋" w:hAnsi="仿宋" w:eastAsia="仿宋" w:cs="黑体"/>
          <w:b/>
          <w:bCs/>
          <w:sz w:val="32"/>
          <w:szCs w:val="32"/>
        </w:rPr>
        <w:br w:type="textWrapping"/>
      </w:r>
      <w:r>
        <w:rPr>
          <w:rFonts w:hint="eastAsia" w:ascii="仿宋" w:hAnsi="仿宋" w:eastAsia="仿宋" w:cs="黑体"/>
          <w:b/>
          <w:bCs/>
          <w:sz w:val="32"/>
          <w:szCs w:val="32"/>
        </w:rPr>
        <w:t>七、一般公共预算“三公”经费支出情况表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八、政府性基金预算支出情况表</w:t>
      </w:r>
      <w:r>
        <w:rPr>
          <w:rFonts w:hint="eastAsia" w:ascii="仿宋" w:hAnsi="仿宋" w:eastAsia="仿宋" w:cs="黑体"/>
          <w:b/>
          <w:bCs/>
          <w:sz w:val="32"/>
          <w:szCs w:val="32"/>
        </w:rPr>
        <w:br w:type="textWrapping"/>
      </w:r>
      <w:r>
        <w:rPr>
          <w:rFonts w:hint="eastAsia" w:ascii="仿宋" w:hAnsi="仿宋" w:eastAsia="仿宋" w:cs="黑体"/>
          <w:b/>
          <w:bCs/>
          <w:sz w:val="32"/>
          <w:szCs w:val="32"/>
        </w:rPr>
        <w:t>九、部门（单位）整体绩效目标表</w:t>
      </w:r>
      <w:r>
        <w:rPr>
          <w:rFonts w:hint="eastAsia" w:ascii="仿宋" w:hAnsi="仿宋" w:eastAsia="仿宋" w:cs="黑体"/>
          <w:b/>
          <w:bCs/>
          <w:sz w:val="32"/>
          <w:szCs w:val="32"/>
        </w:rPr>
        <w:br w:type="textWrapping"/>
      </w:r>
      <w:r>
        <w:rPr>
          <w:rFonts w:hint="eastAsia" w:ascii="仿宋" w:hAnsi="仿宋" w:eastAsia="仿宋" w:cs="黑体"/>
          <w:b/>
          <w:bCs/>
          <w:sz w:val="32"/>
          <w:szCs w:val="32"/>
        </w:rPr>
        <w:t>十、部门预算项目绩效目标表</w:t>
      </w:r>
      <w:r>
        <w:rPr>
          <w:rFonts w:hint="eastAsia" w:ascii="仿宋" w:hAnsi="仿宋" w:eastAsia="仿宋" w:cs="黑体"/>
          <w:b/>
          <w:bCs/>
          <w:sz w:val="32"/>
          <w:szCs w:val="32"/>
        </w:rPr>
        <w:br w:type="textWrapping"/>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中共信阳市浉河区委党史研究室概况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spacing w:line="360" w:lineRule="auto"/>
        <w:ind w:left="142" w:firstLine="643" w:firstLineChars="200"/>
        <w:rPr>
          <w:rFonts w:hint="eastAsia" w:ascii="仿宋" w:hAnsi="仿宋" w:eastAsia="仿宋"/>
          <w:b/>
          <w:bCs/>
          <w:sz w:val="32"/>
          <w:szCs w:val="32"/>
          <w:lang w:val="en-US" w:eastAsia="zh-CN"/>
        </w:rPr>
      </w:pPr>
      <w:r>
        <w:rPr>
          <w:rFonts w:hint="eastAsia" w:ascii="仿宋" w:hAnsi="仿宋" w:eastAsia="仿宋"/>
          <w:b/>
          <w:bCs/>
          <w:sz w:val="32"/>
          <w:szCs w:val="32"/>
        </w:rPr>
        <w:t>一、部门</w:t>
      </w:r>
      <w:r>
        <w:rPr>
          <w:rFonts w:hint="eastAsia" w:ascii="仿宋" w:hAnsi="仿宋" w:eastAsia="仿宋"/>
          <w:b/>
          <w:bCs/>
          <w:sz w:val="32"/>
          <w:szCs w:val="32"/>
          <w:lang w:val="en-US" w:eastAsia="zh-CN"/>
        </w:rPr>
        <w:t>职责</w:t>
      </w:r>
    </w:p>
    <w:p>
      <w:pPr>
        <w:ind w:firstLine="720"/>
        <w:rPr>
          <w:rFonts w:hint="eastAsia" w:eastAsia="宋体"/>
          <w:sz w:val="32"/>
          <w:szCs w:val="32"/>
          <w:lang w:eastAsia="zh-CN"/>
        </w:rPr>
      </w:pPr>
      <w:r>
        <w:rPr>
          <w:rFonts w:hint="eastAsia"/>
          <w:sz w:val="32"/>
          <w:szCs w:val="32"/>
        </w:rPr>
        <w:t>主要职责是：贯彻上级关于党史工作的指示、决定和部署，落实上级党史部门下达的党史编研任务，制定党史工作规划，指导各乡、镇（区）、办事处、区直各部门党史工作的开展；负责续写每一历史时期区本级党史正本工作；负责党史大事记、党史专题的研究、编辑、审定及出版工作；开展党史宣传，负责浉河区党史人物、党史普及读物等重要书刊的编辑、出版发行工作；进行革命传统教育基地的利用和开发，配合进行革命传统及爱国主义教育等</w:t>
      </w:r>
      <w:r>
        <w:rPr>
          <w:rFonts w:hint="eastAsia"/>
          <w:sz w:val="32"/>
          <w:szCs w:val="32"/>
          <w:lang w:eastAsia="zh-CN"/>
        </w:rPr>
        <w:t>。</w:t>
      </w:r>
    </w:p>
    <w:p>
      <w:pPr>
        <w:spacing w:line="360" w:lineRule="auto"/>
        <w:ind w:left="142"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二、</w:t>
      </w:r>
      <w:r>
        <w:rPr>
          <w:rFonts w:hint="eastAsia" w:ascii="仿宋" w:hAnsi="仿宋" w:eastAsia="仿宋"/>
          <w:b/>
          <w:bCs/>
          <w:sz w:val="32"/>
          <w:szCs w:val="32"/>
        </w:rPr>
        <w:t>部门机构设置</w:t>
      </w:r>
    </w:p>
    <w:p>
      <w:pPr>
        <w:ind w:firstLine="720"/>
        <w:rPr>
          <w:rFonts w:ascii="仿宋" w:hAnsi="仿宋" w:eastAsia="仿宋"/>
          <w:sz w:val="32"/>
          <w:szCs w:val="32"/>
        </w:rPr>
      </w:pPr>
      <w:r>
        <w:rPr>
          <w:rFonts w:hint="eastAsia"/>
          <w:sz w:val="32"/>
          <w:szCs w:val="32"/>
        </w:rPr>
        <w:t>中共信阳市浉河区委党史研究室为区委直属参公事业单位，内设一个二级机构，党史资料管理中心。</w:t>
      </w:r>
    </w:p>
    <w:p>
      <w:pPr>
        <w:ind w:firstLine="640" w:firstLineChars="200"/>
        <w:rPr>
          <w:sz w:val="32"/>
          <w:szCs w:val="32"/>
        </w:rPr>
      </w:pPr>
      <w:r>
        <w:rPr>
          <w:rFonts w:hint="eastAsia"/>
          <w:sz w:val="32"/>
          <w:szCs w:val="32"/>
        </w:rPr>
        <w:t>中共信阳市浉河区委党史研究室共定编制</w:t>
      </w:r>
      <w:r>
        <w:rPr>
          <w:sz w:val="32"/>
          <w:szCs w:val="32"/>
        </w:rPr>
        <w:t>3</w:t>
      </w:r>
      <w:r>
        <w:rPr>
          <w:rFonts w:hint="eastAsia"/>
          <w:sz w:val="32"/>
          <w:szCs w:val="32"/>
        </w:rPr>
        <w:t>名，其中：参公编制3名，在职人员</w:t>
      </w:r>
      <w:r>
        <w:rPr>
          <w:sz w:val="32"/>
          <w:szCs w:val="32"/>
        </w:rPr>
        <w:t>2</w:t>
      </w:r>
      <w:r>
        <w:rPr>
          <w:rFonts w:hint="eastAsia"/>
          <w:sz w:val="32"/>
          <w:szCs w:val="32"/>
        </w:rPr>
        <w:t>人。党史资料管理中心共定编制，其中：事业编制3名，在职人员0人。</w:t>
      </w:r>
    </w:p>
    <w:p>
      <w:pPr>
        <w:ind w:firstLine="643" w:firstLineChars="200"/>
        <w:rPr>
          <w:rFonts w:ascii="仿宋" w:hAnsi="仿宋" w:eastAsia="仿宋"/>
          <w:b/>
          <w:sz w:val="32"/>
          <w:szCs w:val="32"/>
        </w:rPr>
      </w:pPr>
    </w:p>
    <w:p>
      <w:pPr>
        <w:spacing w:line="360" w:lineRule="auto"/>
        <w:ind w:left="640"/>
        <w:jc w:val="left"/>
        <w:outlineLvl w:val="1"/>
        <w:rPr>
          <w:rFonts w:ascii="仿宋" w:hAnsi="仿宋" w:eastAsia="仿宋" w:cs="黑体"/>
          <w:b/>
          <w:bCs/>
          <w:sz w:val="32"/>
          <w:szCs w:val="32"/>
        </w:rPr>
      </w:pPr>
      <w:r>
        <w:rPr>
          <w:rFonts w:hint="eastAsia" w:ascii="仿宋" w:hAnsi="仿宋" w:eastAsia="仿宋" w:cs="黑体"/>
          <w:b/>
          <w:bCs/>
          <w:sz w:val="32"/>
          <w:szCs w:val="32"/>
          <w:lang w:val="en-US" w:eastAsia="zh-CN"/>
        </w:rPr>
        <w:t>三</w:t>
      </w:r>
      <w:r>
        <w:rPr>
          <w:rFonts w:hint="eastAsia" w:ascii="仿宋" w:hAnsi="仿宋" w:eastAsia="仿宋" w:cs="黑体"/>
          <w:b/>
          <w:bCs/>
          <w:sz w:val="32"/>
          <w:szCs w:val="32"/>
        </w:rPr>
        <w:t>、部门预算单位构成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纳入中共信阳市浉河区委党史研究室</w:t>
      </w:r>
      <w:r>
        <w:rPr>
          <w:rFonts w:ascii="仿宋" w:hAnsi="仿宋" w:eastAsia="仿宋" w:cs="??_GB2312"/>
          <w:sz w:val="32"/>
          <w:szCs w:val="32"/>
        </w:rPr>
        <w:t>20</w:t>
      </w:r>
      <w:r>
        <w:rPr>
          <w:rFonts w:hint="eastAsia" w:ascii="仿宋" w:hAnsi="仿宋" w:eastAsia="仿宋" w:cs="??_GB2312"/>
          <w:sz w:val="32"/>
          <w:szCs w:val="32"/>
        </w:rPr>
        <w:t>2</w:t>
      </w:r>
      <w:r>
        <w:rPr>
          <w:rFonts w:ascii="仿宋" w:hAnsi="仿宋" w:eastAsia="仿宋" w:cs="??_GB2312"/>
          <w:sz w:val="32"/>
          <w:szCs w:val="32"/>
        </w:rPr>
        <w:t>1</w:t>
      </w:r>
      <w:r>
        <w:rPr>
          <w:rFonts w:hint="eastAsia" w:ascii="仿宋" w:hAnsi="仿宋" w:eastAsia="仿宋" w:cs="宋体"/>
          <w:sz w:val="32"/>
          <w:szCs w:val="32"/>
        </w:rPr>
        <w:t>年度部门预算编制范围的单位包括：</w:t>
      </w:r>
    </w:p>
    <w:p>
      <w:pPr>
        <w:numPr>
          <w:ilvl w:val="0"/>
          <w:numId w:val="2"/>
        </w:num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中共信阳市浉河区委党史研究室机关</w:t>
      </w:r>
    </w:p>
    <w:p>
      <w:pPr>
        <w:numPr>
          <w:ilvl w:val="0"/>
          <w:numId w:val="2"/>
        </w:numPr>
        <w:spacing w:line="360" w:lineRule="auto"/>
        <w:ind w:firstLine="640" w:firstLineChars="200"/>
        <w:jc w:val="left"/>
        <w:rPr>
          <w:rFonts w:ascii="仿宋" w:hAnsi="仿宋" w:eastAsia="仿宋" w:cs="??_GB2312"/>
          <w:sz w:val="32"/>
          <w:szCs w:val="32"/>
        </w:rPr>
      </w:pPr>
      <w:r>
        <w:rPr>
          <w:rFonts w:hint="eastAsia" w:ascii="仿宋" w:hAnsi="仿宋" w:eastAsia="仿宋" w:cs="??_GB2312"/>
          <w:sz w:val="32"/>
          <w:szCs w:val="32"/>
        </w:rPr>
        <w:t>浉河区党史资料管理中心</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中共信阳市浉河区委党史研究室</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rPr>
        <w:t>2</w:t>
      </w:r>
      <w:r>
        <w:rPr>
          <w:rFonts w:ascii="仿宋" w:hAnsi="仿宋" w:eastAsia="仿宋" w:cs="隶书"/>
          <w:sz w:val="48"/>
          <w:szCs w:val="48"/>
        </w:rPr>
        <w:t>1</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 w:hAnsi="仿宋" w:eastAsia="仿宋"/>
          <w:b/>
          <w:bCs/>
          <w:sz w:val="32"/>
          <w:szCs w:val="32"/>
        </w:rPr>
      </w:pPr>
      <w:r>
        <w:rPr>
          <w:rFonts w:hint="eastAsia" w:ascii="仿宋" w:hAnsi="仿宋" w:eastAsia="仿宋"/>
          <w:b/>
          <w:bCs/>
          <w:sz w:val="32"/>
          <w:szCs w:val="32"/>
        </w:rPr>
        <w:t>一、收入支出预算总体情况说明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ascii="仿宋" w:hAnsi="仿宋" w:eastAsia="仿宋" w:cs="Courier New"/>
          <w:sz w:val="32"/>
          <w:szCs w:val="32"/>
        </w:rPr>
        <w:t>1</w:t>
      </w:r>
      <w:r>
        <w:rPr>
          <w:rFonts w:hint="eastAsia" w:ascii="仿宋" w:hAnsi="仿宋" w:eastAsia="仿宋" w:cs="宋体"/>
          <w:sz w:val="32"/>
          <w:szCs w:val="32"/>
        </w:rPr>
        <w:t>年度收入总计</w:t>
      </w:r>
      <w:r>
        <w:rPr>
          <w:rFonts w:ascii="仿宋" w:hAnsi="仿宋" w:eastAsia="仿宋" w:cs="Courier New"/>
          <w:sz w:val="32"/>
          <w:szCs w:val="32"/>
        </w:rPr>
        <w:t>59.1</w:t>
      </w:r>
      <w:r>
        <w:rPr>
          <w:rFonts w:hint="eastAsia" w:ascii="仿宋" w:hAnsi="仿宋" w:eastAsia="仿宋" w:cs="宋体"/>
          <w:sz w:val="32"/>
          <w:szCs w:val="32"/>
        </w:rPr>
        <w:t>万元，支出总计</w:t>
      </w:r>
      <w:r>
        <w:rPr>
          <w:rFonts w:ascii="仿宋" w:hAnsi="仿宋" w:eastAsia="仿宋" w:cs="Courier New"/>
          <w:sz w:val="32"/>
          <w:szCs w:val="32"/>
        </w:rPr>
        <w:t>59.1</w:t>
      </w:r>
      <w:r>
        <w:rPr>
          <w:rFonts w:hint="eastAsia" w:ascii="仿宋" w:hAnsi="仿宋" w:eastAsia="仿宋" w:cs="宋体"/>
          <w:sz w:val="32"/>
          <w:szCs w:val="32"/>
        </w:rPr>
        <w:t>万元，与</w:t>
      </w:r>
      <w:r>
        <w:rPr>
          <w:rFonts w:ascii="仿宋" w:hAnsi="仿宋" w:eastAsia="仿宋" w:cs="Courier New"/>
          <w:sz w:val="32"/>
          <w:szCs w:val="32"/>
        </w:rPr>
        <w:t>2020</w:t>
      </w:r>
      <w:r>
        <w:rPr>
          <w:rFonts w:hint="eastAsia" w:ascii="仿宋" w:hAnsi="仿宋" w:eastAsia="仿宋" w:cs="宋体"/>
          <w:sz w:val="32"/>
          <w:szCs w:val="32"/>
        </w:rPr>
        <w:t>年</w:t>
      </w:r>
      <w:r>
        <w:rPr>
          <w:rFonts w:ascii="仿宋" w:hAnsi="仿宋" w:eastAsia="仿宋" w:cs="宋体"/>
          <w:sz w:val="32"/>
          <w:szCs w:val="32"/>
        </w:rPr>
        <w:t>65</w:t>
      </w:r>
      <w:r>
        <w:rPr>
          <w:rFonts w:hint="eastAsia" w:ascii="仿宋" w:hAnsi="仿宋" w:eastAsia="仿宋" w:cs="宋体"/>
          <w:sz w:val="32"/>
          <w:szCs w:val="32"/>
        </w:rPr>
        <w:t>万元相比，收入减少5.9万元，</w:t>
      </w:r>
      <w:r>
        <w:rPr>
          <w:rFonts w:hint="eastAsia" w:ascii="仿宋" w:hAnsi="仿宋" w:eastAsia="仿宋" w:cs="Courier New"/>
          <w:sz w:val="32"/>
          <w:szCs w:val="32"/>
        </w:rPr>
        <w:t>支出</w:t>
      </w:r>
      <w:r>
        <w:rPr>
          <w:rFonts w:hint="eastAsia" w:ascii="仿宋" w:hAnsi="仿宋" w:eastAsia="仿宋" w:cs="宋体"/>
          <w:sz w:val="32"/>
          <w:szCs w:val="32"/>
        </w:rPr>
        <w:t>减少5.9万元，</w:t>
      </w:r>
      <w:r>
        <w:rPr>
          <w:rFonts w:hint="eastAsia" w:ascii="仿宋" w:hAnsi="仿宋" w:eastAsia="仿宋" w:cs="Courier New"/>
          <w:sz w:val="32"/>
          <w:szCs w:val="32"/>
        </w:rPr>
        <w:t>下降0.9</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因为人员减少费用</w:t>
      </w:r>
      <w:r>
        <w:rPr>
          <w:rFonts w:ascii="仿宋" w:hAnsi="仿宋" w:eastAsia="仿宋" w:cs="Courier New"/>
          <w:sz w:val="32"/>
          <w:szCs w:val="32"/>
        </w:rPr>
        <w:t>减少。</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年度收入合计</w:t>
      </w:r>
      <w:r>
        <w:rPr>
          <w:rFonts w:hint="eastAsia" w:ascii="仿宋" w:hAnsi="仿宋" w:eastAsia="仿宋" w:cs="Courier New"/>
          <w:sz w:val="32"/>
          <w:szCs w:val="32"/>
        </w:rPr>
        <w:t>59.1</w:t>
      </w:r>
      <w:r>
        <w:rPr>
          <w:rFonts w:hint="eastAsia" w:ascii="仿宋" w:hAnsi="仿宋" w:eastAsia="仿宋" w:cs="宋体"/>
          <w:sz w:val="32"/>
          <w:szCs w:val="32"/>
        </w:rPr>
        <w:t>万元，其中：财政拨款收入</w:t>
      </w:r>
      <w:r>
        <w:rPr>
          <w:rFonts w:hint="eastAsia" w:ascii="仿宋" w:hAnsi="仿宋" w:eastAsia="仿宋" w:cs="Courier New"/>
          <w:sz w:val="32"/>
          <w:szCs w:val="32"/>
        </w:rPr>
        <w:t>59.1</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年度支出合计</w:t>
      </w:r>
      <w:r>
        <w:rPr>
          <w:rFonts w:hint="eastAsia" w:ascii="仿宋" w:hAnsi="仿宋" w:eastAsia="仿宋" w:cs="Courier New"/>
          <w:sz w:val="32"/>
          <w:szCs w:val="32"/>
        </w:rPr>
        <w:t>59.1</w:t>
      </w:r>
      <w:r>
        <w:rPr>
          <w:rFonts w:hint="eastAsia" w:ascii="仿宋" w:hAnsi="仿宋" w:eastAsia="仿宋" w:cs="宋体"/>
          <w:sz w:val="32"/>
          <w:szCs w:val="32"/>
        </w:rPr>
        <w:t>万元，其中：基本支出</w:t>
      </w:r>
      <w:r>
        <w:rPr>
          <w:rFonts w:hint="eastAsia" w:ascii="仿宋" w:hAnsi="仿宋" w:eastAsia="仿宋" w:cs="Courier New"/>
          <w:sz w:val="32"/>
          <w:szCs w:val="32"/>
        </w:rPr>
        <w:t>45.7</w:t>
      </w:r>
      <w:r>
        <w:rPr>
          <w:rFonts w:hint="eastAsia" w:ascii="仿宋" w:hAnsi="仿宋" w:eastAsia="仿宋" w:cs="宋体"/>
          <w:sz w:val="32"/>
          <w:szCs w:val="32"/>
        </w:rPr>
        <w:t>万元，占77.3</w:t>
      </w:r>
      <w:r>
        <w:rPr>
          <w:rFonts w:ascii="仿宋" w:hAnsi="仿宋" w:eastAsia="仿宋" w:cs="Courier New"/>
          <w:sz w:val="32"/>
          <w:szCs w:val="32"/>
        </w:rPr>
        <w:t>%</w:t>
      </w:r>
      <w:r>
        <w:rPr>
          <w:rFonts w:hint="eastAsia" w:ascii="仿宋" w:hAnsi="仿宋" w:eastAsia="仿宋" w:cs="宋体"/>
          <w:sz w:val="32"/>
          <w:szCs w:val="32"/>
        </w:rPr>
        <w:t>；项目支出13.4万元，占22.7</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59.1</w:t>
      </w:r>
      <w:r>
        <w:rPr>
          <w:rFonts w:hint="eastAsia" w:ascii="仿宋" w:hAnsi="仿宋" w:eastAsia="仿宋" w:cs="宋体"/>
          <w:sz w:val="32"/>
          <w:szCs w:val="32"/>
        </w:rPr>
        <w:t>万元。与</w:t>
      </w: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年相比，财政拨款收、支总计减少5.9万元，</w:t>
      </w:r>
      <w:r>
        <w:rPr>
          <w:rFonts w:hint="eastAsia" w:ascii="仿宋" w:hAnsi="仿宋" w:eastAsia="仿宋" w:cs="Courier New"/>
          <w:sz w:val="32"/>
          <w:szCs w:val="32"/>
        </w:rPr>
        <w:t>下降0.9</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因人员减少费用</w:t>
      </w:r>
      <w:r>
        <w:rPr>
          <w:rFonts w:ascii="仿宋" w:hAnsi="仿宋" w:eastAsia="仿宋" w:cs="Courier New"/>
          <w:sz w:val="32"/>
          <w:szCs w:val="32"/>
        </w:rPr>
        <w:t>减少</w:t>
      </w:r>
    </w:p>
    <w:p>
      <w:pPr>
        <w:numPr>
          <w:ilvl w:val="0"/>
          <w:numId w:val="3"/>
        </w:numPr>
        <w:adjustRightInd w:val="0"/>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一般公共预算支出预算情况说明</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2021年一般公共预算支出59.1万元，与2020年相比，</w:t>
      </w:r>
      <w:r>
        <w:rPr>
          <w:rFonts w:hint="eastAsia" w:ascii="仿宋" w:hAnsi="仿宋" w:eastAsia="仿宋" w:cs="宋体"/>
          <w:sz w:val="32"/>
          <w:szCs w:val="32"/>
        </w:rPr>
        <w:t>减少5.9万元，</w:t>
      </w:r>
      <w:r>
        <w:rPr>
          <w:rFonts w:hint="eastAsia" w:ascii="仿宋" w:hAnsi="仿宋" w:eastAsia="仿宋" w:cs="Courier New"/>
          <w:sz w:val="32"/>
          <w:szCs w:val="32"/>
        </w:rPr>
        <w:t>下降0.9</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其中：</w:t>
      </w:r>
      <w:r>
        <w:rPr>
          <w:rFonts w:hint="eastAsia" w:ascii="仿宋" w:hAnsi="仿宋" w:eastAsia="仿宋" w:cs="宋体"/>
          <w:sz w:val="32"/>
          <w:szCs w:val="32"/>
        </w:rPr>
        <w:t>基本支出</w:t>
      </w:r>
      <w:r>
        <w:rPr>
          <w:rFonts w:hint="eastAsia" w:ascii="仿宋" w:hAnsi="仿宋" w:eastAsia="仿宋" w:cs="Courier New"/>
          <w:sz w:val="32"/>
          <w:szCs w:val="32"/>
        </w:rPr>
        <w:t>45.7</w:t>
      </w:r>
      <w:r>
        <w:rPr>
          <w:rFonts w:hint="eastAsia" w:ascii="仿宋" w:hAnsi="仿宋" w:eastAsia="仿宋" w:cs="宋体"/>
          <w:sz w:val="32"/>
          <w:szCs w:val="32"/>
        </w:rPr>
        <w:t>万元，占77.3</w:t>
      </w:r>
      <w:r>
        <w:rPr>
          <w:rFonts w:ascii="仿宋" w:hAnsi="仿宋" w:eastAsia="仿宋" w:cs="Courier New"/>
          <w:sz w:val="32"/>
          <w:szCs w:val="32"/>
        </w:rPr>
        <w:t>%</w:t>
      </w:r>
      <w:r>
        <w:rPr>
          <w:rFonts w:hint="eastAsia" w:ascii="仿宋" w:hAnsi="仿宋" w:eastAsia="仿宋" w:cs="宋体"/>
          <w:sz w:val="32"/>
          <w:szCs w:val="32"/>
        </w:rPr>
        <w:t>；项目支出13.4万元，占22.7</w:t>
      </w:r>
      <w:r>
        <w:rPr>
          <w:rFonts w:ascii="仿宋" w:hAnsi="仿宋" w:eastAsia="仿宋" w:cs="Courier New"/>
          <w:sz w:val="32"/>
          <w:szCs w:val="32"/>
        </w:rPr>
        <w:t>%</w:t>
      </w:r>
      <w:r>
        <w:rPr>
          <w:rFonts w:hint="eastAsia" w:ascii="仿宋" w:hAnsi="仿宋" w:eastAsia="仿宋" w:cs="Courier New"/>
          <w:sz w:val="32"/>
          <w:szCs w:val="32"/>
        </w:rPr>
        <w:t>。因为人员减少费用</w:t>
      </w:r>
      <w:r>
        <w:rPr>
          <w:rFonts w:ascii="仿宋" w:hAnsi="仿宋" w:eastAsia="仿宋" w:cs="Courier New"/>
          <w:sz w:val="32"/>
          <w:szCs w:val="32"/>
        </w:rPr>
        <w:t>减少</w:t>
      </w:r>
    </w:p>
    <w:p>
      <w:pPr>
        <w:numPr>
          <w:ilvl w:val="0"/>
          <w:numId w:val="3"/>
        </w:numPr>
        <w:adjustRightInd w:val="0"/>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一般公共预算基本支出预算情况说明</w:t>
      </w:r>
    </w:p>
    <w:p>
      <w:pPr>
        <w:adjustRightInd w:val="0"/>
        <w:snapToGrid w:val="0"/>
        <w:spacing w:line="360" w:lineRule="auto"/>
        <w:ind w:left="420" w:leftChars="200" w:firstLine="640" w:firstLineChars="200"/>
        <w:rPr>
          <w:rFonts w:ascii="仿宋" w:hAnsi="仿宋" w:eastAsia="仿宋" w:cs="Courier New"/>
          <w:sz w:val="32"/>
          <w:szCs w:val="32"/>
        </w:rPr>
      </w:pPr>
      <w:r>
        <w:rPr>
          <w:rFonts w:hint="eastAsia" w:ascii="仿宋" w:hAnsi="仿宋" w:eastAsia="仿宋" w:cs="Courier New"/>
          <w:sz w:val="32"/>
          <w:szCs w:val="32"/>
        </w:rPr>
        <w:t>2021年一般公共预算基本支出45.7万元，</w:t>
      </w:r>
      <w:r>
        <w:rPr>
          <w:rFonts w:hint="eastAsia" w:ascii="仿宋" w:hAnsi="仿宋" w:eastAsia="仿宋" w:cs="宋体"/>
          <w:sz w:val="32"/>
          <w:szCs w:val="32"/>
        </w:rPr>
        <w:t>主要用于以下方面：</w:t>
      </w:r>
      <w:r>
        <w:rPr>
          <w:rFonts w:hint="eastAsia" w:ascii="仿宋" w:hAnsi="仿宋" w:eastAsia="仿宋" w:cs="宋体"/>
          <w:b/>
          <w:spacing w:val="-1"/>
          <w:kern w:val="0"/>
          <w:sz w:val="32"/>
          <w:szCs w:val="32"/>
        </w:rPr>
        <w:t>人员经费</w:t>
      </w:r>
      <w:r>
        <w:rPr>
          <w:rFonts w:hint="eastAsia" w:ascii="仿宋" w:hAnsi="仿宋" w:eastAsia="仿宋" w:cs="??_GB2312"/>
          <w:bCs/>
          <w:spacing w:val="-1"/>
          <w:kern w:val="0"/>
          <w:sz w:val="32"/>
          <w:szCs w:val="32"/>
        </w:rPr>
        <w:t>41</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主要包括：基本工资、津贴补贴、绩效工资、机关事业单位基本养老保险缴费、职业年金、基本医疗保险缴费等；</w:t>
      </w:r>
      <w:r>
        <w:rPr>
          <w:rFonts w:hint="eastAsia" w:ascii="仿宋" w:hAnsi="仿宋" w:eastAsia="仿宋" w:cs="宋体"/>
          <w:b/>
          <w:spacing w:val="-1"/>
          <w:kern w:val="0"/>
          <w:sz w:val="32"/>
          <w:szCs w:val="32"/>
        </w:rPr>
        <w:t>公用经费</w:t>
      </w:r>
      <w:r>
        <w:rPr>
          <w:rFonts w:hint="eastAsia" w:ascii="仿宋" w:hAnsi="仿宋" w:eastAsia="仿宋" w:cs="宋体"/>
          <w:bCs/>
          <w:spacing w:val="-1"/>
          <w:kern w:val="0"/>
          <w:sz w:val="32"/>
          <w:szCs w:val="32"/>
        </w:rPr>
        <w:t>4.7</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，主要包括：办公费、印刷费、邮电费、差旅费、公务接待费、劳务费、工会经费等。</w:t>
      </w:r>
    </w:p>
    <w:p>
      <w:pPr>
        <w:adjustRightInd w:val="0"/>
        <w:snapToGrid w:val="0"/>
        <w:spacing w:line="360" w:lineRule="auto"/>
        <w:ind w:firstLine="321" w:firstLineChars="100"/>
        <w:outlineLvl w:val="1"/>
        <w:rPr>
          <w:rFonts w:ascii="仿宋" w:hAnsi="仿宋" w:eastAsia="仿宋"/>
          <w:b/>
          <w:bCs/>
          <w:sz w:val="32"/>
          <w:szCs w:val="32"/>
        </w:rPr>
      </w:pPr>
      <w:r>
        <w:rPr>
          <w:rFonts w:hint="eastAsia" w:ascii="仿宋" w:hAnsi="仿宋" w:eastAsia="仿宋"/>
          <w:b/>
          <w:bCs/>
          <w:sz w:val="32"/>
          <w:szCs w:val="32"/>
        </w:rPr>
        <w:t>七、关于“三公”经费支出预算情况说明</w:t>
      </w:r>
    </w:p>
    <w:p>
      <w:pPr>
        <w:adjustRightInd w:val="0"/>
        <w:snapToGrid w:val="0"/>
        <w:spacing w:line="360" w:lineRule="auto"/>
        <w:ind w:firstLine="640" w:firstLineChars="200"/>
        <w:outlineLvl w:val="1"/>
        <w:rPr>
          <w:rFonts w:ascii="仿宋" w:hAnsi="仿宋" w:eastAsia="仿宋"/>
          <w:b/>
          <w:bCs/>
          <w:sz w:val="32"/>
          <w:szCs w:val="32"/>
        </w:rPr>
      </w:pPr>
      <w:r>
        <w:rPr>
          <w:rFonts w:hint="eastAsia" w:ascii="仿宋" w:hAnsi="仿宋" w:eastAsia="仿宋" w:cs="宋体"/>
          <w:sz w:val="32"/>
          <w:szCs w:val="32"/>
        </w:rPr>
        <w:t>2021年“三公”经费预算为</w:t>
      </w:r>
      <w:r>
        <w:rPr>
          <w:rFonts w:hint="eastAsia" w:ascii="仿宋" w:hAnsi="仿宋" w:eastAsia="仿宋" w:cs="宋体"/>
          <w:sz w:val="32"/>
          <w:szCs w:val="32"/>
          <w:lang w:val="en-US" w:eastAsia="zh-CN"/>
        </w:rPr>
        <w:t>0.5</w:t>
      </w:r>
      <w:r>
        <w:rPr>
          <w:rFonts w:hint="eastAsia" w:ascii="仿宋" w:hAnsi="仿宋" w:eastAsia="仿宋" w:cs="宋体"/>
          <w:sz w:val="32"/>
          <w:szCs w:val="32"/>
        </w:rPr>
        <w:t>万元。2021年“三公”经费支出预算数比20</w:t>
      </w:r>
      <w:r>
        <w:rPr>
          <w:rFonts w:hint="eastAsia" w:ascii="仿宋" w:hAnsi="仿宋" w:eastAsia="仿宋" w:cs="宋体"/>
          <w:sz w:val="32"/>
          <w:szCs w:val="32"/>
          <w:lang w:val="en-US" w:eastAsia="zh-CN"/>
        </w:rPr>
        <w:t>20</w:t>
      </w:r>
      <w:r>
        <w:rPr>
          <w:rFonts w:hint="eastAsia" w:ascii="仿宋" w:hAnsi="仿宋" w:eastAsia="仿宋" w:cs="宋体"/>
          <w:sz w:val="32"/>
          <w:szCs w:val="32"/>
        </w:rPr>
        <w:t>年减少</w:t>
      </w:r>
      <w:r>
        <w:rPr>
          <w:rFonts w:hint="eastAsia" w:ascii="仿宋" w:hAnsi="仿宋" w:eastAsia="仿宋" w:cs="宋体"/>
          <w:sz w:val="32"/>
          <w:szCs w:val="32"/>
          <w:lang w:val="en-US" w:eastAsia="zh-CN"/>
        </w:rPr>
        <w:t>0</w:t>
      </w:r>
      <w:r>
        <w:rPr>
          <w:rFonts w:hint="eastAsia" w:ascii="仿宋" w:hAnsi="仿宋" w:eastAsia="仿宋" w:cs="宋体"/>
          <w:sz w:val="32"/>
          <w:szCs w:val="32"/>
        </w:rPr>
        <w:t>万元。</w:t>
      </w:r>
      <w:r>
        <w:rPr>
          <w:rFonts w:hint="eastAsia" w:ascii="仿宋" w:hAnsi="仿宋" w:eastAsia="仿宋" w:cs="宋体"/>
          <w:sz w:val="32"/>
          <w:szCs w:val="32"/>
        </w:rPr>
        <w:br w:type="textWrapping"/>
      </w:r>
      <w:r>
        <w:rPr>
          <w:rFonts w:hint="eastAsia" w:ascii="仿宋" w:hAnsi="仿宋" w:eastAsia="仿宋" w:cs="宋体"/>
          <w:sz w:val="32"/>
          <w:szCs w:val="32"/>
        </w:rPr>
        <w:t>具体支出情况如下：</w:t>
      </w:r>
      <w:r>
        <w:rPr>
          <w:rFonts w:hint="eastAsia" w:ascii="仿宋" w:hAnsi="仿宋" w:eastAsia="仿宋" w:cs="宋体"/>
          <w:sz w:val="32"/>
          <w:szCs w:val="32"/>
        </w:rPr>
        <w:br w:type="textWrapping"/>
      </w:r>
      <w:r>
        <w:rPr>
          <w:rFonts w:hint="eastAsia" w:ascii="仿宋" w:hAnsi="仿宋" w:eastAsia="仿宋"/>
          <w:b/>
          <w:bCs/>
          <w:sz w:val="32"/>
          <w:szCs w:val="32"/>
        </w:rPr>
        <w:t>（一）因公出国（境）费0万元，</w:t>
      </w:r>
      <w:r>
        <w:rPr>
          <w:rFonts w:hint="eastAsia" w:ascii="仿宋" w:hAnsi="仿宋" w:eastAsia="仿宋" w:cs="宋体"/>
          <w:sz w:val="32"/>
          <w:szCs w:val="32"/>
        </w:rPr>
        <w:t>主要用于单位工作人员公务出国（境）的住宿费、旅费、伙食补助费、杂费、培训费等支出。预算数比 2020年一致。</w:t>
      </w:r>
      <w:r>
        <w:rPr>
          <w:rFonts w:hint="eastAsia" w:ascii="楷体" w:hAnsi="楷体" w:eastAsia="楷体" w:cs="Arial"/>
          <w:color w:val="666666"/>
          <w:kern w:val="0"/>
          <w:sz w:val="27"/>
          <w:szCs w:val="27"/>
          <w:shd w:val="clear" w:color="auto" w:fill="FFFFFF"/>
        </w:rPr>
        <w:br w:type="textWrapping"/>
      </w:r>
      <w:r>
        <w:rPr>
          <w:rFonts w:hint="eastAsia" w:ascii="仿宋" w:hAnsi="仿宋" w:eastAsia="仿宋"/>
          <w:b/>
          <w:bCs/>
          <w:sz w:val="32"/>
          <w:szCs w:val="32"/>
        </w:rPr>
        <w:t>（二）公务用车购置及运行费</w:t>
      </w:r>
      <w:r>
        <w:rPr>
          <w:rFonts w:hint="eastAsia" w:ascii="仿宋" w:hAnsi="仿宋" w:eastAsia="仿宋"/>
          <w:b/>
          <w:bCs/>
          <w:sz w:val="32"/>
          <w:szCs w:val="32"/>
          <w:lang w:val="en-US" w:eastAsia="zh-CN"/>
        </w:rPr>
        <w:t>0</w:t>
      </w:r>
      <w:r>
        <w:rPr>
          <w:rFonts w:hint="eastAsia" w:ascii="仿宋" w:hAnsi="仿宋" w:eastAsia="仿宋"/>
          <w:b/>
          <w:bCs/>
          <w:sz w:val="32"/>
          <w:szCs w:val="32"/>
        </w:rPr>
        <w:t>万元，</w:t>
      </w:r>
      <w:r>
        <w:rPr>
          <w:rFonts w:hint="eastAsia" w:ascii="仿宋" w:hAnsi="仿宋" w:eastAsia="仿宋" w:cs="宋体"/>
          <w:sz w:val="32"/>
          <w:szCs w:val="32"/>
        </w:rPr>
        <w:t>其中，公务用车购置费0万元；公务用车运行维护费</w:t>
      </w:r>
      <w:r>
        <w:rPr>
          <w:rFonts w:hint="eastAsia" w:ascii="仿宋" w:hAnsi="仿宋" w:eastAsia="仿宋" w:cs="宋体"/>
          <w:sz w:val="32"/>
          <w:szCs w:val="32"/>
          <w:lang w:val="en-US" w:eastAsia="zh-CN"/>
        </w:rPr>
        <w:t>0</w:t>
      </w:r>
      <w:r>
        <w:rPr>
          <w:rFonts w:hint="eastAsia" w:ascii="仿宋" w:hAnsi="仿宋" w:eastAsia="仿宋" w:cs="宋体"/>
          <w:sz w:val="32"/>
          <w:szCs w:val="32"/>
        </w:rPr>
        <w:t>万元，主要用于开展工作所需公务用车的燃料费、维修费、过路过桥费、保险费、车辆保险、年检等支出。公务用车购置费预算数比 2020年持平，主要原因：没有公务用车购置计划。公务用车运行维护费预算数比 2020年减少</w:t>
      </w:r>
      <w:r>
        <w:rPr>
          <w:rFonts w:hint="eastAsia" w:ascii="仿宋" w:hAnsi="仿宋" w:eastAsia="仿宋" w:cs="宋体"/>
          <w:sz w:val="32"/>
          <w:szCs w:val="32"/>
          <w:lang w:val="en-US" w:eastAsia="zh-CN"/>
        </w:rPr>
        <w:t>0</w:t>
      </w:r>
      <w:r>
        <w:rPr>
          <w:rFonts w:hint="eastAsia" w:ascii="仿宋" w:hAnsi="仿宋" w:eastAsia="仿宋" w:cs="宋体"/>
          <w:sz w:val="32"/>
          <w:szCs w:val="32"/>
        </w:rPr>
        <w:t>万元，主要原因：2021年我局将按照中央国务院八项规定和省委省政府厉行节约的相关规定要求，进一步压缩公务用车开支。</w:t>
      </w:r>
      <w:r>
        <w:rPr>
          <w:rFonts w:hint="eastAsia" w:ascii="仿宋" w:hAnsi="仿宋" w:eastAsia="仿宋" w:cs="宋体"/>
          <w:sz w:val="32"/>
          <w:szCs w:val="32"/>
        </w:rPr>
        <w:br w:type="textWrapping"/>
      </w:r>
      <w:r>
        <w:rPr>
          <w:rFonts w:hint="eastAsia" w:ascii="仿宋" w:hAnsi="仿宋" w:eastAsia="仿宋"/>
          <w:b/>
          <w:bCs/>
          <w:sz w:val="32"/>
          <w:szCs w:val="32"/>
        </w:rPr>
        <w:t>（三）公务接待费</w:t>
      </w:r>
      <w:r>
        <w:rPr>
          <w:rFonts w:hint="eastAsia" w:ascii="仿宋" w:hAnsi="仿宋" w:eastAsia="仿宋"/>
          <w:b/>
          <w:bCs/>
          <w:sz w:val="32"/>
          <w:szCs w:val="32"/>
          <w:lang w:val="en-US" w:eastAsia="zh-CN"/>
        </w:rPr>
        <w:t>0.5</w:t>
      </w:r>
      <w:r>
        <w:rPr>
          <w:rFonts w:hint="eastAsia" w:ascii="仿宋" w:hAnsi="仿宋" w:eastAsia="仿宋"/>
          <w:b/>
          <w:bCs/>
          <w:sz w:val="32"/>
          <w:szCs w:val="32"/>
        </w:rPr>
        <w:t>万元，</w:t>
      </w:r>
      <w:r>
        <w:rPr>
          <w:rFonts w:hint="eastAsia" w:ascii="仿宋" w:hAnsi="仿宋" w:eastAsia="仿宋" w:cs="宋体"/>
          <w:sz w:val="32"/>
          <w:szCs w:val="32"/>
        </w:rPr>
        <w:t>主要用于按规定开支的各类公务接待（含外宾接待）支出。预算数比 2020年减少</w:t>
      </w:r>
      <w:r>
        <w:rPr>
          <w:rFonts w:hint="eastAsia" w:ascii="仿宋" w:hAnsi="仿宋" w:eastAsia="仿宋" w:cs="宋体"/>
          <w:sz w:val="32"/>
          <w:szCs w:val="32"/>
          <w:lang w:val="en-US" w:eastAsia="zh-CN"/>
        </w:rPr>
        <w:t>0</w:t>
      </w:r>
      <w:r>
        <w:rPr>
          <w:rFonts w:hint="eastAsia" w:ascii="仿宋" w:hAnsi="仿宋" w:eastAsia="仿宋" w:cs="宋体"/>
          <w:sz w:val="32"/>
          <w:szCs w:val="32"/>
        </w:rPr>
        <w:t>万元。主要原因是2021年我局将按照中央国务院八项规定和省委省政府厉行节约的相关规定要求，进一步压缩公务接待开支。</w:t>
      </w:r>
      <w:r>
        <w:rPr>
          <w:rFonts w:hint="eastAsia" w:ascii="仿宋" w:hAnsi="仿宋" w:eastAsia="仿宋" w:cs="宋体"/>
          <w:sz w:val="32"/>
          <w:szCs w:val="32"/>
        </w:rPr>
        <w:br w:type="textWrapping"/>
      </w:r>
      <w:r>
        <w:rPr>
          <w:rFonts w:hint="eastAsia" w:ascii="仿宋" w:hAnsi="仿宋" w:eastAsia="仿宋"/>
          <w:b/>
          <w:bCs/>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hint="eastAsia" w:ascii="仿宋" w:hAnsi="仿宋" w:eastAsia="仿宋"/>
          <w:b/>
          <w:bCs/>
          <w:sz w:val="32"/>
          <w:szCs w:val="32"/>
          <w:lang w:val="en-US" w:eastAsia="zh-CN"/>
        </w:rPr>
      </w:pPr>
      <w:r>
        <w:rPr>
          <w:rFonts w:hint="eastAsia" w:ascii="仿宋" w:hAnsi="仿宋" w:eastAsia="仿宋"/>
          <w:b/>
          <w:bCs/>
          <w:kern w:val="0"/>
          <w:sz w:val="32"/>
          <w:szCs w:val="32"/>
        </w:rPr>
        <w:t>九、</w:t>
      </w:r>
      <w:r>
        <w:rPr>
          <w:rFonts w:hint="eastAsia" w:ascii="仿宋" w:hAnsi="仿宋" w:eastAsia="仿宋"/>
          <w:b/>
          <w:bCs/>
          <w:sz w:val="32"/>
          <w:szCs w:val="32"/>
        </w:rPr>
        <w:t>其他重要事项情况说明</w:t>
      </w:r>
    </w:p>
    <w:p>
      <w:pPr>
        <w:kinsoku w:val="0"/>
        <w:overflowPunct w:val="0"/>
        <w:autoSpaceDE w:val="0"/>
        <w:autoSpaceDN w:val="0"/>
        <w:adjustRightInd w:val="0"/>
        <w:snapToGrid w:val="0"/>
        <w:spacing w:line="360" w:lineRule="auto"/>
        <w:ind w:firstLine="643" w:firstLineChars="200"/>
        <w:rPr>
          <w:rFonts w:ascii="仿宋" w:hAnsi="仿宋" w:eastAsia="仿宋" w:cs="黑体"/>
          <w:b/>
          <w:bCs/>
          <w:kern w:val="0"/>
          <w:sz w:val="32"/>
          <w:szCs w:val="32"/>
        </w:rPr>
      </w:pPr>
      <w:r>
        <w:rPr>
          <w:rFonts w:hint="eastAsia" w:ascii="仿宋" w:hAnsi="仿宋" w:eastAsia="仿宋"/>
          <w:b/>
          <w:bCs/>
          <w:kern w:val="0"/>
          <w:sz w:val="32"/>
          <w:szCs w:val="32"/>
          <w:lang w:eastAsia="zh-CN"/>
        </w:rPr>
        <w:t>（</w:t>
      </w:r>
      <w:r>
        <w:rPr>
          <w:rFonts w:hint="eastAsia" w:ascii="仿宋" w:hAnsi="仿宋" w:eastAsia="仿宋"/>
          <w:b/>
          <w:bCs/>
          <w:kern w:val="0"/>
          <w:sz w:val="32"/>
          <w:szCs w:val="32"/>
          <w:lang w:val="en-US" w:eastAsia="zh-CN"/>
        </w:rPr>
        <w:t>一</w:t>
      </w:r>
      <w:r>
        <w:rPr>
          <w:rFonts w:hint="eastAsia" w:ascii="仿宋" w:hAnsi="仿宋" w:eastAsia="仿宋"/>
          <w:b/>
          <w:bCs/>
          <w:kern w:val="0"/>
          <w:sz w:val="32"/>
          <w:szCs w:val="32"/>
          <w:lang w:eastAsia="zh-CN"/>
        </w:rPr>
        <w:t>）</w:t>
      </w:r>
      <w:r>
        <w:rPr>
          <w:rFonts w:hint="eastAsia" w:ascii="仿宋" w:hAnsi="仿宋" w:eastAsia="仿宋"/>
          <w:b/>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4.7</w:t>
      </w:r>
      <w:r>
        <w:rPr>
          <w:rFonts w:hint="eastAsia" w:ascii="仿宋" w:hAnsi="仿宋" w:eastAsia="仿宋" w:cs="宋体"/>
          <w:sz w:val="32"/>
          <w:szCs w:val="32"/>
        </w:rPr>
        <w:t>万元，比</w:t>
      </w:r>
      <w:r>
        <w:rPr>
          <w:rFonts w:ascii="仿宋" w:hAnsi="仿宋" w:eastAsia="仿宋" w:cs="Courier New"/>
          <w:sz w:val="32"/>
          <w:szCs w:val="32"/>
        </w:rPr>
        <w:t>20</w:t>
      </w:r>
      <w:r>
        <w:rPr>
          <w:rFonts w:hint="eastAsia" w:ascii="仿宋" w:hAnsi="仿宋" w:eastAsia="仿宋" w:cs="Courier New"/>
          <w:sz w:val="32"/>
          <w:szCs w:val="32"/>
        </w:rPr>
        <w:t>20年减少0.3</w:t>
      </w:r>
      <w:r>
        <w:rPr>
          <w:rFonts w:hint="eastAsia" w:ascii="仿宋" w:hAnsi="仿宋" w:eastAsia="仿宋" w:cs="宋体"/>
          <w:sz w:val="32"/>
          <w:szCs w:val="32"/>
        </w:rPr>
        <w:t>万元，</w:t>
      </w:r>
      <w:r>
        <w:rPr>
          <w:rFonts w:hint="eastAsia" w:ascii="仿宋" w:hAnsi="仿宋" w:eastAsia="仿宋" w:cs="Courier New"/>
          <w:sz w:val="32"/>
          <w:szCs w:val="32"/>
        </w:rPr>
        <w:t>下降6</w:t>
      </w:r>
      <w:r>
        <w:rPr>
          <w:rFonts w:ascii="仿宋" w:hAnsi="仿宋" w:eastAsia="仿宋" w:cs="Courier New"/>
          <w:sz w:val="32"/>
          <w:szCs w:val="32"/>
        </w:rPr>
        <w:t>%</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_GB2312"/>
          <w:b/>
          <w:bCs/>
          <w:kern w:val="0"/>
          <w:sz w:val="32"/>
          <w:szCs w:val="32"/>
        </w:rPr>
      </w:pPr>
      <w:r>
        <w:rPr>
          <w:rFonts w:hint="eastAsia" w:ascii="仿宋" w:hAnsi="仿宋" w:eastAsia="仿宋"/>
          <w:b/>
          <w:bCs/>
          <w:kern w:val="0"/>
          <w:sz w:val="32"/>
          <w:szCs w:val="32"/>
          <w:lang w:eastAsia="zh-CN"/>
        </w:rPr>
        <w:t>（</w:t>
      </w:r>
      <w:r>
        <w:rPr>
          <w:rFonts w:hint="eastAsia" w:ascii="仿宋" w:hAnsi="仿宋" w:eastAsia="仿宋"/>
          <w:b/>
          <w:bCs/>
          <w:kern w:val="0"/>
          <w:sz w:val="32"/>
          <w:szCs w:val="32"/>
          <w:lang w:val="en-US" w:eastAsia="zh-CN"/>
        </w:rPr>
        <w:t>二</w:t>
      </w:r>
      <w:r>
        <w:rPr>
          <w:rFonts w:hint="eastAsia" w:ascii="仿宋" w:hAnsi="仿宋" w:eastAsia="仿宋"/>
          <w:b/>
          <w:bCs/>
          <w:kern w:val="0"/>
          <w:sz w:val="32"/>
          <w:szCs w:val="32"/>
          <w:lang w:eastAsia="zh-CN"/>
        </w:rPr>
        <w:t>）</w:t>
      </w:r>
      <w:r>
        <w:rPr>
          <w:rFonts w:hint="eastAsia" w:ascii="仿宋" w:hAnsi="仿宋" w:eastAsia="仿宋"/>
          <w:b/>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2021年度政府采购支出预算总额0万元，其中：政府采购货物支出0万元、政府采购工程预算0万元、政府采购服务预算0万元，本年度无政府采购支出预算。</w:t>
      </w:r>
    </w:p>
    <w:p>
      <w:p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lang w:eastAsia="zh-CN"/>
        </w:rPr>
        <w:t>（</w:t>
      </w:r>
      <w:r>
        <w:rPr>
          <w:rFonts w:hint="eastAsia" w:ascii="仿宋" w:hAnsi="仿宋" w:eastAsia="仿宋" w:cs="Courier New"/>
          <w:b/>
          <w:bCs/>
          <w:sz w:val="32"/>
          <w:szCs w:val="32"/>
          <w:lang w:val="en-US" w:eastAsia="zh-CN"/>
        </w:rPr>
        <w:t>三</w:t>
      </w:r>
      <w:r>
        <w:rPr>
          <w:rFonts w:hint="eastAsia" w:ascii="仿宋" w:hAnsi="仿宋" w:eastAsia="仿宋" w:cs="Courier New"/>
          <w:b/>
          <w:bCs/>
          <w:sz w:val="32"/>
          <w:szCs w:val="32"/>
          <w:lang w:eastAsia="zh-CN"/>
        </w:rPr>
        <w:t>）</w:t>
      </w:r>
      <w:r>
        <w:rPr>
          <w:rFonts w:hint="eastAsia" w:ascii="仿宋" w:hAnsi="仿宋" w:eastAsia="仿宋" w:cs="Courier New"/>
          <w:b/>
          <w:bCs/>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宋体"/>
          <w:sz w:val="32"/>
          <w:szCs w:val="32"/>
        </w:rPr>
        <w:t>2021年预算项目均按要求编制了绩效目标，从项目产出、项目效益、满意度等方面设置了绩效指标，综合反映项目预期完成的数量、实效、质量，预期达到的社会经济效益、可持续影响以及服务对象满意度等情况。</w:t>
      </w:r>
      <w:r>
        <w:rPr>
          <w:rFonts w:hint="eastAsia" w:ascii="仿宋" w:hAnsi="仿宋" w:eastAsia="仿宋" w:cs="宋体"/>
          <w:sz w:val="32"/>
          <w:szCs w:val="32"/>
        </w:rPr>
        <w:br w:type="textWrapping"/>
      </w:r>
    </w:p>
    <w:p>
      <w:pPr>
        <w:kinsoku w:val="0"/>
        <w:overflowPunct w:val="0"/>
        <w:autoSpaceDE w:val="0"/>
        <w:autoSpaceDN w:val="0"/>
        <w:adjustRightInd w:val="0"/>
        <w:snapToGrid w:val="0"/>
        <w:spacing w:line="360" w:lineRule="auto"/>
        <w:ind w:firstLine="643" w:firstLineChars="200"/>
        <w:rPr>
          <w:rFonts w:ascii="仿宋" w:hAnsi="仿宋" w:eastAsia="仿宋" w:cs="??_GB2312"/>
          <w:b/>
          <w:bCs/>
          <w:kern w:val="0"/>
          <w:sz w:val="32"/>
          <w:szCs w:val="32"/>
        </w:rPr>
      </w:pPr>
      <w:r>
        <w:rPr>
          <w:rFonts w:hint="eastAsia" w:ascii="仿宋" w:hAnsi="仿宋" w:eastAsia="仿宋"/>
          <w:b/>
          <w:bCs/>
          <w:kern w:val="0"/>
          <w:sz w:val="32"/>
          <w:szCs w:val="32"/>
          <w:lang w:eastAsia="zh-CN"/>
        </w:rPr>
        <w:t>（</w:t>
      </w:r>
      <w:r>
        <w:rPr>
          <w:rFonts w:hint="eastAsia" w:ascii="仿宋" w:hAnsi="仿宋" w:eastAsia="仿宋"/>
          <w:b/>
          <w:bCs/>
          <w:kern w:val="0"/>
          <w:sz w:val="32"/>
          <w:szCs w:val="32"/>
          <w:lang w:val="en-US" w:eastAsia="zh-CN"/>
        </w:rPr>
        <w:t>四</w:t>
      </w:r>
      <w:r>
        <w:rPr>
          <w:rFonts w:hint="eastAsia" w:ascii="仿宋" w:hAnsi="仿宋" w:eastAsia="仿宋"/>
          <w:b/>
          <w:bCs/>
          <w:kern w:val="0"/>
          <w:sz w:val="32"/>
          <w:szCs w:val="32"/>
          <w:lang w:eastAsia="zh-CN"/>
        </w:rPr>
        <w:t>）</w:t>
      </w:r>
      <w:r>
        <w:rPr>
          <w:rFonts w:hint="eastAsia" w:ascii="仿宋" w:hAnsi="仿宋" w:eastAsia="仿宋"/>
          <w:b/>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年末，中共信阳市浉河区委党史研究室共有车辆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ascii="仿宋" w:hAnsi="仿宋" w:eastAsia="仿宋" w:cs="Courier New"/>
          <w:sz w:val="32"/>
          <w:szCs w:val="32"/>
        </w:rPr>
        <w:t>0</w:t>
      </w:r>
      <w:r>
        <w:rPr>
          <w:rFonts w:hint="eastAsia" w:ascii="仿宋" w:hAnsi="仿宋" w:eastAsia="仿宋" w:cs="宋体"/>
          <w:sz w:val="32"/>
          <w:szCs w:val="32"/>
        </w:rPr>
        <w:t>辆、一般执法执勤用车0辆、特种专业技术用车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ind w:firstLine="640" w:firstLineChars="200"/>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bookmarkStart w:id="0" w:name="_GoBack"/>
      <w:bookmarkEnd w:id="0"/>
      <w:r>
        <w:rPr>
          <w:rFonts w:hint="eastAsia" w:ascii="仿宋" w:hAnsi="仿宋" w:eastAsia="仿宋" w:cs="隶书"/>
          <w:sz w:val="48"/>
          <w:szCs w:val="48"/>
        </w:rPr>
        <w:t>部分　　名词解释</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- 11 -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l/mgKNQIAAGEEAAAOAAAAZHJzL2Uyb0RvYy54bWytVM2O0zAQviPx&#10;DpbvNOmutgtV01XZqghpxa5UEGfXcZpI/pPtNikPAG/AiQt3nqvPwWen6aKFwx64OGPPeGa+z99k&#10;dtMpSfbC+cbogo5HOSVCc1M2elvQTx9Xr15T4gPTJZNGi4IehKc385cvZq2digtTG1kKR5BE+2lr&#10;C1qHYKdZ5nktFPMjY4WGszJOsYCt22alYy2yK5ld5Pkka40rrTNceI/TZe+kp4zuOQlNVTVcLA3f&#10;KaFDn9UJyQIg+bqxns5Tt1UleLivKi8CkQUF0pBWFIG9iWs2n7Hp1jFbN/zUAntOC08wKdZoFD2n&#10;WrLAyM41f6VSDXfGmyqMuFFZDyQxAhTj/Ak365pZkbCAam/PpPv/l5Z/2D840pQFnVCimcKDH79/&#10;O/74dfz5lUwiPa31U0StLeJC99Z0EM1w7nEYUXeVU/ELPAR+kHs4kyu6QHi8dP3mOr+ihMM1voSd&#10;yM8eL1vnwzthFIlGQR3eLlHK9nc+oBGEDiGxljarRsr0flKTFgAur/J04ezBDaljrEhKOKWJgPrG&#10;oxW6TXdCuTHlASCd6VXiLV81aOWO+fDAHGQBXBiccI+lkgYlzcmipDbuy7/OYzxeC15KWsisoBpT&#10;RYl8r/GKUZGD4QZjMxh6p24NdDvGQFqeTFxwQQ5m5Yz6jGlaxBpwMc1RqaBhMG9DL3VMIxeLRQqC&#10;7iwLd3pteUwd6fF2sQugM7EcSemZAOVxA+Ul8k9TEqX95z5FPf4Z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OX+aAo1AgAAYQQAAA4AAAAAAAAAAQAgAAAAIAEAAGRycy9lMm9Eb2MueG1s&#10;UEsFBgAAAAAGAAYAWQEAAMcFA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- 11 -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88A13"/>
    <w:multiLevelType w:val="singleLevel"/>
    <w:tmpl w:val="B6188A13"/>
    <w:lvl w:ilvl="0" w:tentative="0">
      <w:start w:val="5"/>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8B8"/>
    <w:rsid w:val="00042522"/>
    <w:rsid w:val="00092801"/>
    <w:rsid w:val="000B1B09"/>
    <w:rsid w:val="000B1B9B"/>
    <w:rsid w:val="000B32E1"/>
    <w:rsid w:val="000C18E2"/>
    <w:rsid w:val="00132E43"/>
    <w:rsid w:val="00170110"/>
    <w:rsid w:val="0017112E"/>
    <w:rsid w:val="00172A27"/>
    <w:rsid w:val="00194A38"/>
    <w:rsid w:val="001D3FB5"/>
    <w:rsid w:val="001E1234"/>
    <w:rsid w:val="00222031"/>
    <w:rsid w:val="002A721A"/>
    <w:rsid w:val="00320599"/>
    <w:rsid w:val="00336FCB"/>
    <w:rsid w:val="00376170"/>
    <w:rsid w:val="00402C74"/>
    <w:rsid w:val="004C11C3"/>
    <w:rsid w:val="004D36BB"/>
    <w:rsid w:val="004F3C7C"/>
    <w:rsid w:val="0050293C"/>
    <w:rsid w:val="00503F16"/>
    <w:rsid w:val="00521A12"/>
    <w:rsid w:val="005E126E"/>
    <w:rsid w:val="005E7A7C"/>
    <w:rsid w:val="00630D31"/>
    <w:rsid w:val="00664626"/>
    <w:rsid w:val="006F22F7"/>
    <w:rsid w:val="007115FD"/>
    <w:rsid w:val="00731FE8"/>
    <w:rsid w:val="00743248"/>
    <w:rsid w:val="0078762D"/>
    <w:rsid w:val="00787823"/>
    <w:rsid w:val="007956F5"/>
    <w:rsid w:val="007B72EA"/>
    <w:rsid w:val="007F7F87"/>
    <w:rsid w:val="009766B5"/>
    <w:rsid w:val="009B4F9D"/>
    <w:rsid w:val="009B6CAD"/>
    <w:rsid w:val="00A15AD4"/>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2190B"/>
    <w:rsid w:val="00C224F7"/>
    <w:rsid w:val="00C57D7B"/>
    <w:rsid w:val="00C6444A"/>
    <w:rsid w:val="00CD4933"/>
    <w:rsid w:val="00D41731"/>
    <w:rsid w:val="00D54DC4"/>
    <w:rsid w:val="00D9092F"/>
    <w:rsid w:val="00DB1C77"/>
    <w:rsid w:val="00DD3864"/>
    <w:rsid w:val="00DD5457"/>
    <w:rsid w:val="00E14EFF"/>
    <w:rsid w:val="00E21B07"/>
    <w:rsid w:val="00E32E02"/>
    <w:rsid w:val="00E8190D"/>
    <w:rsid w:val="00E91E53"/>
    <w:rsid w:val="00E92067"/>
    <w:rsid w:val="00ED38A5"/>
    <w:rsid w:val="00ED44BB"/>
    <w:rsid w:val="00EE6AA4"/>
    <w:rsid w:val="00F60D62"/>
    <w:rsid w:val="00F92F65"/>
    <w:rsid w:val="00FB0B96"/>
    <w:rsid w:val="017D68CA"/>
    <w:rsid w:val="01901067"/>
    <w:rsid w:val="01F21A60"/>
    <w:rsid w:val="026651AD"/>
    <w:rsid w:val="027033B1"/>
    <w:rsid w:val="03240ECA"/>
    <w:rsid w:val="04453648"/>
    <w:rsid w:val="07F31BEE"/>
    <w:rsid w:val="084D7413"/>
    <w:rsid w:val="08A93228"/>
    <w:rsid w:val="08FB3159"/>
    <w:rsid w:val="09BB2134"/>
    <w:rsid w:val="0C366EEC"/>
    <w:rsid w:val="0E99029F"/>
    <w:rsid w:val="0FAB2FE6"/>
    <w:rsid w:val="0FEF0DE6"/>
    <w:rsid w:val="1101275B"/>
    <w:rsid w:val="113C4E6E"/>
    <w:rsid w:val="113E646F"/>
    <w:rsid w:val="11407B13"/>
    <w:rsid w:val="117A0571"/>
    <w:rsid w:val="12CA6145"/>
    <w:rsid w:val="147E551D"/>
    <w:rsid w:val="14BD0B15"/>
    <w:rsid w:val="14D2458E"/>
    <w:rsid w:val="150B6848"/>
    <w:rsid w:val="15492582"/>
    <w:rsid w:val="172517C8"/>
    <w:rsid w:val="17965762"/>
    <w:rsid w:val="17BE6092"/>
    <w:rsid w:val="17F73D7A"/>
    <w:rsid w:val="18301BDF"/>
    <w:rsid w:val="193E376D"/>
    <w:rsid w:val="19CF0ECE"/>
    <w:rsid w:val="1A624019"/>
    <w:rsid w:val="1C1152FA"/>
    <w:rsid w:val="1C1F61CB"/>
    <w:rsid w:val="1C3B117F"/>
    <w:rsid w:val="1C9430D4"/>
    <w:rsid w:val="1C970E94"/>
    <w:rsid w:val="1CB61AB8"/>
    <w:rsid w:val="1E2566FD"/>
    <w:rsid w:val="1E7D3B34"/>
    <w:rsid w:val="20F5460F"/>
    <w:rsid w:val="212E5315"/>
    <w:rsid w:val="219725B3"/>
    <w:rsid w:val="23885AFD"/>
    <w:rsid w:val="24337632"/>
    <w:rsid w:val="254B33D1"/>
    <w:rsid w:val="2555723D"/>
    <w:rsid w:val="256D2254"/>
    <w:rsid w:val="25AD6EDA"/>
    <w:rsid w:val="25C01332"/>
    <w:rsid w:val="26434B03"/>
    <w:rsid w:val="27507D70"/>
    <w:rsid w:val="27C23248"/>
    <w:rsid w:val="280E08E4"/>
    <w:rsid w:val="29621C7E"/>
    <w:rsid w:val="2983760E"/>
    <w:rsid w:val="29B13F52"/>
    <w:rsid w:val="29ED2241"/>
    <w:rsid w:val="2A4F18E3"/>
    <w:rsid w:val="2ACE51FA"/>
    <w:rsid w:val="2BA4769A"/>
    <w:rsid w:val="2C654BE7"/>
    <w:rsid w:val="2C8F6BCF"/>
    <w:rsid w:val="2CC075DB"/>
    <w:rsid w:val="2CD06EF4"/>
    <w:rsid w:val="2D6012B2"/>
    <w:rsid w:val="2D9D4DA5"/>
    <w:rsid w:val="2DBF18D1"/>
    <w:rsid w:val="2EF476F8"/>
    <w:rsid w:val="2F47056C"/>
    <w:rsid w:val="2F9D786B"/>
    <w:rsid w:val="301A2AB2"/>
    <w:rsid w:val="307652F7"/>
    <w:rsid w:val="30EF50F9"/>
    <w:rsid w:val="323443E0"/>
    <w:rsid w:val="325F6EF2"/>
    <w:rsid w:val="32EF005E"/>
    <w:rsid w:val="32EF40CE"/>
    <w:rsid w:val="33A76F4E"/>
    <w:rsid w:val="34416F30"/>
    <w:rsid w:val="361720D7"/>
    <w:rsid w:val="364D690A"/>
    <w:rsid w:val="36636074"/>
    <w:rsid w:val="36FA2471"/>
    <w:rsid w:val="372974AC"/>
    <w:rsid w:val="38100E4B"/>
    <w:rsid w:val="38262F47"/>
    <w:rsid w:val="39637962"/>
    <w:rsid w:val="39765334"/>
    <w:rsid w:val="39967F15"/>
    <w:rsid w:val="3A063830"/>
    <w:rsid w:val="3AE7177F"/>
    <w:rsid w:val="3C5769C0"/>
    <w:rsid w:val="3CE60EF1"/>
    <w:rsid w:val="3D57497E"/>
    <w:rsid w:val="3EA437AD"/>
    <w:rsid w:val="3EEE22CD"/>
    <w:rsid w:val="3F081D17"/>
    <w:rsid w:val="3F0E1F33"/>
    <w:rsid w:val="3FCD07F4"/>
    <w:rsid w:val="40C11B22"/>
    <w:rsid w:val="41BC3A31"/>
    <w:rsid w:val="41CF71DE"/>
    <w:rsid w:val="42271DDB"/>
    <w:rsid w:val="42563EC6"/>
    <w:rsid w:val="43E82B9D"/>
    <w:rsid w:val="44552F7B"/>
    <w:rsid w:val="457B1C96"/>
    <w:rsid w:val="468900BD"/>
    <w:rsid w:val="46F559ED"/>
    <w:rsid w:val="477D716C"/>
    <w:rsid w:val="48B52937"/>
    <w:rsid w:val="48C00F7D"/>
    <w:rsid w:val="48EE3EF3"/>
    <w:rsid w:val="4A9236CF"/>
    <w:rsid w:val="4B182C53"/>
    <w:rsid w:val="4B2D55EB"/>
    <w:rsid w:val="4B9521CB"/>
    <w:rsid w:val="4C1E2F28"/>
    <w:rsid w:val="4CA137D9"/>
    <w:rsid w:val="4DD80E33"/>
    <w:rsid w:val="4DE20C7C"/>
    <w:rsid w:val="4FEB4D77"/>
    <w:rsid w:val="50C2787A"/>
    <w:rsid w:val="50CF4027"/>
    <w:rsid w:val="5115239B"/>
    <w:rsid w:val="51886138"/>
    <w:rsid w:val="519D604E"/>
    <w:rsid w:val="52EC68E4"/>
    <w:rsid w:val="53001490"/>
    <w:rsid w:val="541D6A82"/>
    <w:rsid w:val="544677EE"/>
    <w:rsid w:val="54852C8F"/>
    <w:rsid w:val="557F1746"/>
    <w:rsid w:val="55D118F9"/>
    <w:rsid w:val="55EA1009"/>
    <w:rsid w:val="5651051D"/>
    <w:rsid w:val="57E961A8"/>
    <w:rsid w:val="581E297B"/>
    <w:rsid w:val="581E77CF"/>
    <w:rsid w:val="58B06254"/>
    <w:rsid w:val="58C1709D"/>
    <w:rsid w:val="58D021C1"/>
    <w:rsid w:val="5917318C"/>
    <w:rsid w:val="59431915"/>
    <w:rsid w:val="596506AE"/>
    <w:rsid w:val="59C54792"/>
    <w:rsid w:val="59EE4473"/>
    <w:rsid w:val="5AF25131"/>
    <w:rsid w:val="5BCA31AA"/>
    <w:rsid w:val="5C0B432F"/>
    <w:rsid w:val="5C0F3375"/>
    <w:rsid w:val="5D0262D7"/>
    <w:rsid w:val="5DD56AC2"/>
    <w:rsid w:val="5E886EBD"/>
    <w:rsid w:val="5EB57926"/>
    <w:rsid w:val="5ECF3FA4"/>
    <w:rsid w:val="5F130DE5"/>
    <w:rsid w:val="5F964892"/>
    <w:rsid w:val="5FB578F9"/>
    <w:rsid w:val="600176AC"/>
    <w:rsid w:val="60B8378D"/>
    <w:rsid w:val="60F22670"/>
    <w:rsid w:val="617A16DC"/>
    <w:rsid w:val="627A693C"/>
    <w:rsid w:val="62D27395"/>
    <w:rsid w:val="63FC5C35"/>
    <w:rsid w:val="65D72BAB"/>
    <w:rsid w:val="664A46E0"/>
    <w:rsid w:val="6695643A"/>
    <w:rsid w:val="6796775E"/>
    <w:rsid w:val="67D84ED8"/>
    <w:rsid w:val="68500770"/>
    <w:rsid w:val="686B0051"/>
    <w:rsid w:val="687C156E"/>
    <w:rsid w:val="68E95CA0"/>
    <w:rsid w:val="68F315DE"/>
    <w:rsid w:val="69F84494"/>
    <w:rsid w:val="6ABB6698"/>
    <w:rsid w:val="6AC30185"/>
    <w:rsid w:val="6BB86614"/>
    <w:rsid w:val="6DC12C15"/>
    <w:rsid w:val="6F2D14A1"/>
    <w:rsid w:val="6FDF24CC"/>
    <w:rsid w:val="705F045F"/>
    <w:rsid w:val="71320DEC"/>
    <w:rsid w:val="71490407"/>
    <w:rsid w:val="7156288B"/>
    <w:rsid w:val="72153B88"/>
    <w:rsid w:val="72957115"/>
    <w:rsid w:val="72B61072"/>
    <w:rsid w:val="72D846A8"/>
    <w:rsid w:val="73F12465"/>
    <w:rsid w:val="744B0B09"/>
    <w:rsid w:val="75531EF6"/>
    <w:rsid w:val="755A7A11"/>
    <w:rsid w:val="75D0003D"/>
    <w:rsid w:val="76DB5D95"/>
    <w:rsid w:val="783E1213"/>
    <w:rsid w:val="79060C93"/>
    <w:rsid w:val="790A578E"/>
    <w:rsid w:val="794E5DD1"/>
    <w:rsid w:val="7A070B19"/>
    <w:rsid w:val="7A637437"/>
    <w:rsid w:val="7AF26ED3"/>
    <w:rsid w:val="7B4379B2"/>
    <w:rsid w:val="7BFF00E4"/>
    <w:rsid w:val="7C2C4361"/>
    <w:rsid w:val="7C435077"/>
    <w:rsid w:val="7CF52FED"/>
    <w:rsid w:val="7DC221B2"/>
    <w:rsid w:val="7DDD1D7B"/>
    <w:rsid w:val="7EC626D2"/>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字符"/>
    <w:basedOn w:val="6"/>
    <w:link w:val="2"/>
    <w:semiHidden/>
    <w:qFormat/>
    <w:locked/>
    <w:uiPriority w:val="99"/>
    <w:rPr>
      <w:rFonts w:ascii="Calibri" w:hAnsi="Calibri" w:cs="Times New Roman"/>
      <w:sz w:val="24"/>
      <w:szCs w:val="24"/>
    </w:rPr>
  </w:style>
  <w:style w:type="character" w:customStyle="1" w:styleId="8">
    <w:name w:val="页脚 字符"/>
    <w:basedOn w:val="6"/>
    <w:link w:val="3"/>
    <w:semiHidden/>
    <w:qFormat/>
    <w:locked/>
    <w:uiPriority w:val="99"/>
    <w:rPr>
      <w:rFonts w:ascii="Calibri" w:hAnsi="Calibri" w:cs="Times New Roman"/>
      <w:sz w:val="18"/>
      <w:szCs w:val="18"/>
    </w:rPr>
  </w:style>
  <w:style w:type="character" w:customStyle="1" w:styleId="9">
    <w:name w:val="页眉 字符"/>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 w:type="character" w:customStyle="1" w:styleId="14">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E55D4-E72C-45A0-AF0F-0E1C173ACE0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525</Words>
  <Characters>2995</Characters>
  <Lines>24</Lines>
  <Paragraphs>7</Paragraphs>
  <TotalTime>1</TotalTime>
  <ScaleCrop>false</ScaleCrop>
  <LinksUpToDate>false</LinksUpToDate>
  <CharactersWithSpaces>3513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2021-10-15T03:40:00Z</dcterms:created>
  <dc:creator>wsj</dc:creator>
  <cp:lastModifiedBy>Lenovo</cp:lastModifiedBy>
  <cp:lastPrinted>2019-08-20T02:10:00Z</cp:lastPrinted>
  <dcterms:modified xsi:type="dcterms:W3CDTF">2021-12-07T07:43:48Z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1A015CB005F64266A7652C5A299A67E6</vt:lpwstr>
  </property>
</Properties>
</file>