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黑体"/>
          <w:sz w:val="44"/>
          <w:szCs w:val="44"/>
        </w:rPr>
      </w:pPr>
      <w:r>
        <w:rPr>
          <w:rFonts w:hint="eastAsia" w:ascii="楷体" w:hAnsi="楷体" w:eastAsia="楷体" w:cs="Arial"/>
          <w:b/>
          <w:bCs/>
          <w:color w:val="666666"/>
          <w:kern w:val="0"/>
          <w:sz w:val="36"/>
          <w:szCs w:val="36"/>
        </w:rPr>
        <w:t>2021年信阳市浉河区市场监督管理局部门预算公开</w:t>
      </w:r>
    </w:p>
    <w:p>
      <w:pPr>
        <w:widowControl/>
        <w:shd w:val="clear" w:color="auto" w:fill="FFFFFF"/>
        <w:jc w:val="both"/>
        <w:rPr>
          <w:rFonts w:hint="eastAsia" w:ascii="Calibri" w:hAnsi="Calibri" w:eastAsia="楷体" w:cs="Calibri"/>
          <w:b/>
          <w:bCs/>
          <w:color w:val="666666"/>
          <w:kern w:val="0"/>
          <w:sz w:val="27"/>
          <w:szCs w:val="27"/>
          <w:lang w:eastAsia="zh-CN"/>
        </w:rPr>
      </w:pPr>
      <w:r>
        <w:rPr>
          <w:rFonts w:ascii="Calibri" w:hAnsi="Calibri" w:eastAsia="楷体" w:cs="Calibri"/>
          <w:b/>
          <w:bCs/>
          <w:color w:val="666666"/>
          <w:kern w:val="0"/>
          <w:sz w:val="27"/>
          <w:szCs w:val="27"/>
        </w:rPr>
        <w:t> </w:t>
      </w:r>
    </w:p>
    <w:p>
      <w:pPr>
        <w:widowControl/>
        <w:shd w:val="clear" w:color="auto" w:fill="FFFFFF"/>
        <w:jc w:val="center"/>
        <w:rPr>
          <w:rFonts w:ascii="Arial" w:hAnsi="Arial" w:eastAsia="宋体" w:cs="Arial"/>
          <w:color w:val="666666"/>
          <w:kern w:val="0"/>
          <w:szCs w:val="21"/>
        </w:rPr>
      </w:pPr>
      <w:r>
        <w:rPr>
          <w:rFonts w:hint="eastAsia" w:ascii="楷体" w:hAnsi="楷体" w:eastAsia="楷体" w:cs="Arial"/>
          <w:b/>
          <w:bCs/>
          <w:color w:val="666666"/>
          <w:kern w:val="0"/>
          <w:sz w:val="36"/>
          <w:szCs w:val="36"/>
        </w:rPr>
        <w:t>目</w:t>
      </w:r>
      <w:r>
        <w:rPr>
          <w:rFonts w:ascii="Calibri" w:hAnsi="Calibri" w:eastAsia="楷体" w:cs="Calibri"/>
          <w:b/>
          <w:bCs/>
          <w:color w:val="666666"/>
          <w:kern w:val="0"/>
          <w:sz w:val="36"/>
          <w:szCs w:val="36"/>
        </w:rPr>
        <w:t> </w:t>
      </w:r>
      <w:r>
        <w:rPr>
          <w:rFonts w:hint="eastAsia" w:ascii="楷体" w:hAnsi="楷体" w:eastAsia="楷体" w:cs="Arial"/>
          <w:b/>
          <w:bCs/>
          <w:color w:val="666666"/>
          <w:kern w:val="0"/>
          <w:sz w:val="36"/>
          <w:szCs w:val="36"/>
        </w:rPr>
        <w:t>录</w:t>
      </w:r>
    </w:p>
    <w:p>
      <w:pPr>
        <w:widowControl/>
        <w:jc w:val="left"/>
        <w:rPr>
          <w:rFonts w:hint="eastAsia" w:ascii="Calibri" w:hAnsi="Calibri" w:eastAsia="楷体" w:cs="Calibri"/>
          <w:color w:val="666666"/>
          <w:kern w:val="0"/>
          <w:sz w:val="27"/>
          <w:szCs w:val="27"/>
          <w:shd w:val="clear" w:color="auto" w:fill="FFFFFF"/>
          <w:lang w:eastAsia="zh-CN"/>
        </w:rPr>
      </w:pPr>
      <w:r>
        <w:rPr>
          <w:rFonts w:ascii="Calibri" w:hAnsi="Calibri" w:eastAsia="楷体" w:cs="Calibri"/>
          <w:color w:val="666666"/>
          <w:kern w:val="0"/>
          <w:sz w:val="27"/>
          <w:szCs w:val="27"/>
          <w:shd w:val="clear" w:color="auto" w:fill="FFFFFF"/>
        </w:rPr>
        <w:t> </w:t>
      </w:r>
    </w:p>
    <w:p>
      <w:pPr>
        <w:widowControl/>
        <w:jc w:val="left"/>
        <w:rPr>
          <w:rFonts w:hint="eastAsia" w:ascii="Calibri" w:hAnsi="Calibri" w:eastAsia="楷体" w:cs="Calibri"/>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第一部分</w:t>
      </w:r>
      <w:r>
        <w:rPr>
          <w:rFonts w:ascii="Calibri" w:hAnsi="Calibri" w:eastAsia="楷体" w:cs="Calibri"/>
          <w:color w:val="666666"/>
          <w:kern w:val="0"/>
          <w:sz w:val="27"/>
          <w:szCs w:val="27"/>
          <w:shd w:val="clear" w:color="auto" w:fill="FFFFFF"/>
        </w:rPr>
        <w:t> </w:t>
      </w:r>
      <w:r>
        <w:rPr>
          <w:rFonts w:hint="eastAsia" w:ascii="Calibri" w:hAnsi="Calibri" w:eastAsia="楷体" w:cs="Calibri"/>
          <w:color w:val="666666"/>
          <w:kern w:val="0"/>
          <w:sz w:val="27"/>
          <w:szCs w:val="27"/>
          <w:shd w:val="clear" w:color="auto" w:fill="FFFFFF"/>
          <w:lang w:val="en-US" w:eastAsia="zh-CN"/>
        </w:rPr>
        <w:t xml:space="preserve"> 信阳市</w:t>
      </w:r>
      <w:r>
        <w:rPr>
          <w:rFonts w:hint="eastAsia" w:ascii="楷体" w:hAnsi="楷体" w:eastAsia="楷体" w:cs="Arial"/>
          <w:b w:val="0"/>
          <w:bCs w:val="0"/>
          <w:color w:val="666666"/>
          <w:kern w:val="0"/>
          <w:sz w:val="27"/>
          <w:szCs w:val="27"/>
        </w:rPr>
        <w:t>浉河区市场监督管理局</w:t>
      </w:r>
      <w:r>
        <w:rPr>
          <w:rFonts w:hint="eastAsia" w:ascii="楷体" w:hAnsi="楷体" w:eastAsia="楷体" w:cs="Arial"/>
          <w:color w:val="666666"/>
          <w:kern w:val="0"/>
          <w:sz w:val="27"/>
          <w:szCs w:val="27"/>
          <w:shd w:val="clear" w:color="auto" w:fill="FFFFFF"/>
        </w:rPr>
        <w:t>概况</w:t>
      </w:r>
      <w:r>
        <w:rPr>
          <w:rFonts w:ascii="Calibri" w:hAnsi="Calibri" w:eastAsia="楷体" w:cs="Calibri"/>
          <w:color w:val="666666"/>
          <w:kern w:val="0"/>
          <w:sz w:val="27"/>
          <w:szCs w:val="27"/>
          <w:shd w:val="clear" w:color="auto" w:fill="FFFFFF"/>
        </w:rPr>
        <w:t> </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一、主要职能</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二、机构设置</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三、部门预算单位构成</w:t>
      </w:r>
    </w:p>
    <w:p>
      <w:pPr>
        <w:widowControl/>
        <w:jc w:val="left"/>
        <w:rPr>
          <w:rFonts w:hint="eastAsia" w:ascii="Calibri" w:hAnsi="Calibri" w:eastAsia="楷体" w:cs="Calibri"/>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第二部分</w:t>
      </w:r>
      <w:r>
        <w:rPr>
          <w:rFonts w:ascii="Calibri" w:hAnsi="Calibri" w:eastAsia="楷体" w:cs="Calibri"/>
          <w:color w:val="666666"/>
          <w:kern w:val="0"/>
          <w:sz w:val="27"/>
          <w:szCs w:val="27"/>
          <w:shd w:val="clear" w:color="auto" w:fill="FFFFFF"/>
        </w:rPr>
        <w:t> </w:t>
      </w:r>
      <w:r>
        <w:rPr>
          <w:rFonts w:hint="eastAsia" w:ascii="Calibri" w:hAnsi="Calibri" w:eastAsia="楷体" w:cs="Calibri"/>
          <w:color w:val="666666"/>
          <w:kern w:val="0"/>
          <w:sz w:val="27"/>
          <w:szCs w:val="27"/>
          <w:shd w:val="clear" w:color="auto" w:fill="FFFFFF"/>
          <w:lang w:val="en-US" w:eastAsia="zh-CN"/>
        </w:rPr>
        <w:t xml:space="preserve"> 信阳市</w:t>
      </w:r>
      <w:r>
        <w:rPr>
          <w:rFonts w:hint="eastAsia" w:ascii="楷体" w:hAnsi="楷体" w:eastAsia="楷体" w:cs="Arial"/>
          <w:b w:val="0"/>
          <w:bCs w:val="0"/>
          <w:color w:val="666666"/>
          <w:kern w:val="0"/>
          <w:sz w:val="27"/>
          <w:szCs w:val="27"/>
        </w:rPr>
        <w:t>浉河区市场监督管理局</w:t>
      </w:r>
      <w:r>
        <w:rPr>
          <w:rFonts w:ascii="Calibri" w:hAnsi="Calibri" w:eastAsia="楷体" w:cs="Calibri"/>
          <w:color w:val="666666"/>
          <w:kern w:val="0"/>
          <w:sz w:val="27"/>
          <w:szCs w:val="27"/>
          <w:shd w:val="clear" w:color="auto" w:fill="FFFFFF"/>
        </w:rPr>
        <w:t> </w:t>
      </w:r>
      <w:r>
        <w:rPr>
          <w:rFonts w:hint="eastAsia" w:ascii="楷体" w:hAnsi="楷体" w:eastAsia="楷体" w:cs="Arial"/>
          <w:color w:val="666666"/>
          <w:kern w:val="0"/>
          <w:sz w:val="27"/>
          <w:szCs w:val="27"/>
          <w:shd w:val="clear" w:color="auto" w:fill="FFFFFF"/>
        </w:rPr>
        <w:t>2021年度部门预算情况说明</w:t>
      </w:r>
      <w:r>
        <w:rPr>
          <w:rFonts w:ascii="Calibri" w:hAnsi="Calibri" w:eastAsia="楷体" w:cs="Calibri"/>
          <w:color w:val="666666"/>
          <w:kern w:val="0"/>
          <w:sz w:val="27"/>
          <w:szCs w:val="27"/>
          <w:shd w:val="clear" w:color="auto" w:fill="FFFFFF"/>
        </w:rPr>
        <w:t> </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第三部分</w:t>
      </w:r>
      <w:r>
        <w:rPr>
          <w:rFonts w:ascii="Calibri" w:hAnsi="Calibri" w:eastAsia="楷体" w:cs="Calibri"/>
          <w:color w:val="666666"/>
          <w:kern w:val="0"/>
          <w:sz w:val="27"/>
          <w:szCs w:val="27"/>
          <w:shd w:val="clear" w:color="auto" w:fill="FFFFFF"/>
        </w:rPr>
        <w:t> </w:t>
      </w:r>
      <w:r>
        <w:rPr>
          <w:rFonts w:hint="eastAsia" w:ascii="楷体" w:hAnsi="楷体" w:eastAsia="楷体" w:cs="Arial"/>
          <w:color w:val="666666"/>
          <w:kern w:val="0"/>
          <w:sz w:val="27"/>
          <w:szCs w:val="27"/>
          <w:shd w:val="clear" w:color="auto" w:fill="FFFFFF"/>
        </w:rPr>
        <w:t>名词解释</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附件：</w:t>
      </w:r>
      <w:r>
        <w:rPr>
          <w:rFonts w:ascii="Calibri" w:hAnsi="Calibri" w:eastAsia="楷体" w:cs="Calibri"/>
          <w:color w:val="666666"/>
          <w:kern w:val="0"/>
          <w:sz w:val="27"/>
          <w:szCs w:val="27"/>
          <w:shd w:val="clear" w:color="auto" w:fill="FFFFFF"/>
        </w:rPr>
        <w:t> </w:t>
      </w:r>
      <w:r>
        <w:rPr>
          <w:rFonts w:hint="eastAsia" w:ascii="Calibri" w:hAnsi="Calibri" w:eastAsia="楷体" w:cs="Calibri"/>
          <w:color w:val="666666"/>
          <w:kern w:val="0"/>
          <w:sz w:val="27"/>
          <w:szCs w:val="27"/>
          <w:shd w:val="clear" w:color="auto" w:fill="FFFFFF"/>
          <w:lang w:eastAsia="zh-CN"/>
        </w:rPr>
        <w:t>信阳市</w:t>
      </w:r>
      <w:r>
        <w:rPr>
          <w:rFonts w:hint="eastAsia" w:ascii="楷体" w:hAnsi="楷体" w:eastAsia="楷体" w:cs="Arial"/>
          <w:b w:val="0"/>
          <w:bCs w:val="0"/>
          <w:color w:val="666666"/>
          <w:kern w:val="0"/>
          <w:sz w:val="27"/>
          <w:szCs w:val="27"/>
        </w:rPr>
        <w:t>浉河区市场监督管理局</w:t>
      </w:r>
      <w:r>
        <w:rPr>
          <w:rFonts w:hint="eastAsia" w:ascii="楷体" w:hAnsi="楷体" w:eastAsia="楷体" w:cs="Arial"/>
          <w:color w:val="666666"/>
          <w:kern w:val="0"/>
          <w:sz w:val="27"/>
          <w:szCs w:val="27"/>
          <w:shd w:val="clear" w:color="auto" w:fill="FFFFFF"/>
        </w:rPr>
        <w:t>2021年度部门预算表</w:t>
      </w:r>
    </w:p>
    <w:p>
      <w:pPr>
        <w:widowControl/>
        <w:jc w:val="left"/>
        <w:rPr>
          <w:rFonts w:hint="eastAsia" w:ascii="楷体" w:hAnsi="楷体" w:eastAsia="楷体" w:cs="Arial"/>
          <w:color w:val="666666"/>
          <w:kern w:val="0"/>
          <w:sz w:val="27"/>
          <w:szCs w:val="27"/>
          <w:shd w:val="clear" w:color="auto" w:fill="FFFFFF"/>
        </w:rPr>
      </w:pPr>
    </w:p>
    <w:p>
      <w:pPr>
        <w:widowControl/>
        <w:jc w:val="left"/>
        <w:rPr>
          <w:rFonts w:hint="eastAsia" w:ascii="Arial" w:hAnsi="Arial" w:eastAsia="宋体" w:cs="Arial"/>
          <w:color w:val="666666"/>
          <w:kern w:val="0"/>
          <w:szCs w:val="21"/>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center"/>
        <w:rPr>
          <w:rFonts w:ascii="微软雅黑" w:hAnsi="微软雅黑" w:eastAsia="微软雅黑" w:cs="微软雅黑"/>
          <w:color w:val="666666"/>
          <w:sz w:val="21"/>
          <w:szCs w:val="21"/>
        </w:rPr>
      </w:pPr>
      <w:r>
        <w:rPr>
          <w:rFonts w:ascii="楷体" w:hAnsi="楷体" w:eastAsia="楷体" w:cs="楷体"/>
          <w:b/>
          <w:bCs/>
          <w:color w:val="666666"/>
          <w:kern w:val="0"/>
          <w:sz w:val="27"/>
          <w:szCs w:val="27"/>
          <w:shd w:val="clear" w:fill="FFFFFF"/>
          <w:lang w:val="en-US" w:eastAsia="zh-CN" w:bidi="ar"/>
        </w:rPr>
        <w:t>第一部分</w:t>
      </w:r>
      <w:r>
        <w:rPr>
          <w:rFonts w:hint="eastAsia" w:ascii="楷体" w:hAnsi="楷体" w:eastAsia="楷体" w:cs="楷体"/>
          <w:b/>
          <w:bCs/>
          <w:color w:val="666666"/>
          <w:kern w:val="0"/>
          <w:sz w:val="27"/>
          <w:szCs w:val="27"/>
          <w:shd w:val="clear" w:fill="FFFFFF"/>
          <w:lang w:val="en-US" w:eastAsia="zh-CN" w:bidi="ar"/>
        </w:rPr>
        <w:br w:type="textWrapping"/>
      </w:r>
      <w:r>
        <w:rPr>
          <w:rFonts w:hint="eastAsia" w:ascii="楷体" w:hAnsi="楷体" w:eastAsia="楷体" w:cs="楷体"/>
          <w:b/>
          <w:bCs/>
          <w:color w:val="666666"/>
          <w:kern w:val="0"/>
          <w:sz w:val="27"/>
          <w:szCs w:val="27"/>
          <w:shd w:val="clear" w:fill="FFFFFF"/>
          <w:lang w:val="en-US" w:eastAsia="zh-CN" w:bidi="ar"/>
        </w:rPr>
        <w:t>信阳市浉河区市场监督管理局概况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both"/>
        <w:rPr>
          <w:rFonts w:hint="eastAsia" w:ascii="微软雅黑" w:hAnsi="微软雅黑" w:eastAsia="微软雅黑" w:cs="微软雅黑"/>
          <w:color w:val="666666"/>
          <w:sz w:val="21"/>
          <w:szCs w:val="21"/>
        </w:rPr>
      </w:pPr>
      <w:r>
        <w:rPr>
          <w:rFonts w:hint="eastAsia" w:ascii="楷体" w:hAnsi="楷体" w:eastAsia="楷体" w:cs="楷体"/>
          <w:b/>
          <w:bCs/>
          <w:color w:val="666666"/>
          <w:kern w:val="0"/>
          <w:sz w:val="27"/>
          <w:szCs w:val="27"/>
          <w:shd w:val="clear" w:fill="FFFFFF"/>
          <w:lang w:val="en-US" w:eastAsia="zh-CN" w:bidi="ar"/>
        </w:rPr>
        <w:t>一、信阳市浉河区市场监督管理局主要职责</w:t>
      </w:r>
      <w:r>
        <w:rPr>
          <w:rFonts w:hint="eastAsia" w:ascii="楷体" w:hAnsi="楷体" w:eastAsia="楷体" w:cs="楷体"/>
          <w:color w:val="666666"/>
          <w:kern w:val="0"/>
          <w:sz w:val="27"/>
          <w:szCs w:val="27"/>
          <w:shd w:val="clear" w:fill="FFFFFF"/>
          <w:lang w:val="en-US" w:eastAsia="zh-CN" w:bidi="ar"/>
        </w:rPr>
        <w:br w:type="textWrapping"/>
      </w:r>
      <w:r>
        <w:rPr>
          <w:rFonts w:hint="eastAsia" w:ascii="楷体" w:hAnsi="楷体" w:eastAsia="楷体" w:cs="楷体"/>
          <w:color w:val="666666"/>
          <w:kern w:val="0"/>
          <w:sz w:val="27"/>
          <w:szCs w:val="27"/>
          <w:shd w:val="clear" w:fill="FFFFFF"/>
          <w:lang w:val="en-US" w:eastAsia="zh-CN" w:bidi="ar"/>
        </w:rPr>
        <w:t>（一）负责全区市场综合监督管理。组织实施国家市场监督管理有关政策和法律，参与起草市场监督管理有关地方性法规、规章草案，制定有关政策、标准，组织实施质量强市战略、食品安全战略、标准化战略、知识产权战略。拟订并组织实施有关规划，规范和维护市场秩序，营造诚实守信、公平竞争的市场环境。</w:t>
      </w:r>
      <w:r>
        <w:rPr>
          <w:rFonts w:hint="eastAsia" w:ascii="楷体" w:hAnsi="楷体" w:eastAsia="楷体" w:cs="楷体"/>
          <w:color w:val="666666"/>
          <w:kern w:val="0"/>
          <w:sz w:val="27"/>
          <w:szCs w:val="27"/>
          <w:shd w:val="clear" w:fill="FFFFFF"/>
          <w:lang w:val="en-US" w:eastAsia="zh-CN" w:bidi="ar"/>
        </w:rPr>
        <w:br w:type="textWrapping"/>
      </w:r>
      <w:r>
        <w:rPr>
          <w:rFonts w:hint="eastAsia" w:ascii="楷体" w:hAnsi="楷体" w:eastAsia="楷体" w:cs="楷体"/>
          <w:color w:val="666666"/>
          <w:kern w:val="0"/>
          <w:sz w:val="27"/>
          <w:szCs w:val="27"/>
          <w:shd w:val="clear" w:fill="FFFFFF"/>
          <w:lang w:val="en-US" w:eastAsia="zh-CN" w:bidi="ar"/>
        </w:rPr>
        <w:t>（二）负责全区市场主体统一登记注册。负责全区各类企业、农民专业合作社和从事经营活动的单位、个体工商户以及外国（地区）企业常驻代表机构等市场主体的登记注册工作。建立市场主体信息公示和共享机制，依法公示和共享有关信息，加强信用监管，推动市场主体信用体系建设。</w:t>
      </w:r>
      <w:r>
        <w:rPr>
          <w:rFonts w:hint="eastAsia" w:ascii="楷体" w:hAnsi="楷体" w:eastAsia="楷体" w:cs="楷体"/>
          <w:color w:val="666666"/>
          <w:kern w:val="0"/>
          <w:sz w:val="27"/>
          <w:szCs w:val="27"/>
          <w:shd w:val="clear" w:fill="FFFFFF"/>
          <w:lang w:val="en-US" w:eastAsia="zh-CN" w:bidi="ar"/>
        </w:rPr>
        <w:br w:type="textWrapping"/>
      </w:r>
      <w:r>
        <w:rPr>
          <w:rFonts w:hint="eastAsia" w:ascii="楷体" w:hAnsi="楷体" w:eastAsia="楷体" w:cs="楷体"/>
          <w:color w:val="666666"/>
          <w:kern w:val="0"/>
          <w:sz w:val="27"/>
          <w:szCs w:val="27"/>
          <w:shd w:val="clear" w:fill="FFFFFF"/>
          <w:lang w:val="en-US" w:eastAsia="zh-CN" w:bidi="ar"/>
        </w:rPr>
        <w:t>（三）负责组织和指导全区市场监管综合执法工作。指导全区市场监管综合执法队伍建设。组织查处重大复杂案件，协调跨区域执法工作。规范全区市场监管行政执法行为。</w:t>
      </w:r>
      <w:r>
        <w:rPr>
          <w:rFonts w:hint="eastAsia" w:ascii="楷体" w:hAnsi="楷体" w:eastAsia="楷体" w:cs="楷体"/>
          <w:color w:val="666666"/>
          <w:kern w:val="0"/>
          <w:sz w:val="27"/>
          <w:szCs w:val="27"/>
          <w:shd w:val="clear" w:fill="FFFFFF"/>
          <w:lang w:val="en-US" w:eastAsia="zh-CN" w:bidi="ar"/>
        </w:rPr>
        <w:br w:type="textWrapping"/>
      </w:r>
      <w:r>
        <w:rPr>
          <w:rFonts w:hint="eastAsia" w:ascii="楷体" w:hAnsi="楷体" w:eastAsia="楷体" w:cs="楷体"/>
          <w:color w:val="666666"/>
          <w:kern w:val="0"/>
          <w:sz w:val="27"/>
          <w:szCs w:val="27"/>
          <w:shd w:val="clear" w:fill="FFFFFF"/>
          <w:lang w:val="en-US" w:eastAsia="zh-CN" w:bidi="ar"/>
        </w:rPr>
        <w:t>（四）负责统筹推进竞争政策实施，指导实施公平竞争审查制度。根据授权，承担相关反垄断执法工作。</w:t>
      </w:r>
      <w:r>
        <w:rPr>
          <w:rFonts w:hint="eastAsia" w:ascii="楷体" w:hAnsi="楷体" w:eastAsia="楷体" w:cs="楷体"/>
          <w:color w:val="666666"/>
          <w:kern w:val="0"/>
          <w:sz w:val="27"/>
          <w:szCs w:val="27"/>
          <w:shd w:val="clear" w:fill="FFFFFF"/>
          <w:lang w:val="en-US" w:eastAsia="zh-CN" w:bidi="ar"/>
        </w:rPr>
        <w:br w:type="textWrapping"/>
      </w:r>
      <w:r>
        <w:rPr>
          <w:rFonts w:hint="eastAsia" w:ascii="楷体" w:hAnsi="楷体" w:eastAsia="楷体" w:cs="楷体"/>
          <w:color w:val="666666"/>
          <w:kern w:val="0"/>
          <w:sz w:val="27"/>
          <w:szCs w:val="27"/>
          <w:shd w:val="clear" w:fill="FFFFFF"/>
          <w:lang w:val="en-US" w:eastAsia="zh-CN" w:bidi="ar"/>
        </w:rPr>
        <w:t>（五）负责监督管理市场秩序。依法监督管理市场交易、网络商品交易及有关服务的行为。组织指导查处不正当竞争、违法直销、传销、侵犯商标专利知识产权和制售假冒伪劣行为。组织指导全区价格监督检查工作。指导全区广告业发展，监督管理广告活动。指导查处无照生产经营和相关无证生产经营行为。拟订全区消费者权益保护的具体措施，指导信阳市浉河区消费者协会开展消费维权工作。</w:t>
      </w:r>
      <w:r>
        <w:rPr>
          <w:rFonts w:hint="eastAsia" w:ascii="楷体" w:hAnsi="楷体" w:eastAsia="楷体" w:cs="楷体"/>
          <w:color w:val="666666"/>
          <w:kern w:val="0"/>
          <w:sz w:val="27"/>
          <w:szCs w:val="27"/>
          <w:shd w:val="clear" w:fill="FFFFFF"/>
          <w:lang w:val="en-US" w:eastAsia="zh-CN" w:bidi="ar"/>
        </w:rPr>
        <w:br w:type="textWrapping"/>
      </w:r>
      <w:r>
        <w:rPr>
          <w:rFonts w:hint="eastAsia" w:ascii="楷体" w:hAnsi="楷体" w:eastAsia="楷体" w:cs="楷体"/>
          <w:color w:val="666666"/>
          <w:kern w:val="0"/>
          <w:sz w:val="27"/>
          <w:szCs w:val="27"/>
          <w:shd w:val="clear" w:fill="FFFFFF"/>
          <w:lang w:val="en-US" w:eastAsia="zh-CN" w:bidi="ar"/>
        </w:rPr>
        <w:t>（六）负责全区宏观质量管理。拟订并实施质量发展的制度措施。统筹全区质量基础设施建设与应用。会同有关部门组织实施重大工程设备质量监理制度，组织重大产品质量事故调查，建立并统一实施缺陷产品召回制度，监督管理产品防伪工作。</w:t>
      </w:r>
      <w:r>
        <w:rPr>
          <w:rFonts w:hint="eastAsia" w:ascii="楷体" w:hAnsi="楷体" w:eastAsia="楷体" w:cs="楷体"/>
          <w:color w:val="666666"/>
          <w:kern w:val="0"/>
          <w:sz w:val="27"/>
          <w:szCs w:val="27"/>
          <w:shd w:val="clear" w:fill="FFFFFF"/>
          <w:lang w:val="en-US" w:eastAsia="zh-CN" w:bidi="ar"/>
        </w:rPr>
        <w:br w:type="textWrapping"/>
      </w:r>
      <w:r>
        <w:rPr>
          <w:rFonts w:hint="eastAsia" w:ascii="楷体" w:hAnsi="楷体" w:eastAsia="楷体" w:cs="楷体"/>
          <w:color w:val="666666"/>
          <w:kern w:val="0"/>
          <w:sz w:val="27"/>
          <w:szCs w:val="27"/>
          <w:shd w:val="clear" w:fill="FFFFFF"/>
          <w:lang w:val="en-US" w:eastAsia="zh-CN" w:bidi="ar"/>
        </w:rPr>
        <w:t>（七）负责全区产品质量安全监督管理。组织实施产品质量安全风险监控和监督抽查工作。组织实施质量分级制度、质量安全追溯制度。负责全区工业产品生产许可管理。负责全区纤维质量监督工作。</w:t>
      </w:r>
      <w:r>
        <w:rPr>
          <w:rFonts w:hint="eastAsia" w:ascii="楷体" w:hAnsi="楷体" w:eastAsia="楷体" w:cs="楷体"/>
          <w:color w:val="666666"/>
          <w:kern w:val="0"/>
          <w:sz w:val="27"/>
          <w:szCs w:val="27"/>
          <w:shd w:val="clear" w:fill="FFFFFF"/>
          <w:lang w:val="en-US" w:eastAsia="zh-CN" w:bidi="ar"/>
        </w:rPr>
        <w:br w:type="textWrapping"/>
      </w:r>
      <w:r>
        <w:rPr>
          <w:rFonts w:hint="eastAsia" w:ascii="楷体" w:hAnsi="楷体" w:eastAsia="楷体" w:cs="楷体"/>
          <w:color w:val="666666"/>
          <w:kern w:val="0"/>
          <w:sz w:val="27"/>
          <w:szCs w:val="27"/>
          <w:shd w:val="clear" w:fill="FFFFFF"/>
          <w:lang w:val="en-US" w:eastAsia="zh-CN" w:bidi="ar"/>
        </w:rPr>
        <w:t>（八）负责全区特种设备安全监督管理。综合管理特种设备安全监察、监督工作，监督检查高耗能特种设备节能标准和锅炉环境保护标准的执行情况。组织指导特种设备安全事故调查工作。</w:t>
      </w:r>
      <w:r>
        <w:rPr>
          <w:rFonts w:hint="eastAsia" w:ascii="楷体" w:hAnsi="楷体" w:eastAsia="楷体" w:cs="楷体"/>
          <w:color w:val="666666"/>
          <w:kern w:val="0"/>
          <w:sz w:val="27"/>
          <w:szCs w:val="27"/>
          <w:shd w:val="clear" w:fill="FFFFFF"/>
          <w:lang w:val="en-US" w:eastAsia="zh-CN" w:bidi="ar"/>
        </w:rPr>
        <w:br w:type="textWrapping"/>
      </w:r>
      <w:r>
        <w:rPr>
          <w:rFonts w:hint="eastAsia" w:ascii="楷体" w:hAnsi="楷体" w:eastAsia="楷体" w:cs="楷体"/>
          <w:color w:val="666666"/>
          <w:kern w:val="0"/>
          <w:sz w:val="27"/>
          <w:szCs w:val="27"/>
          <w:shd w:val="clear" w:fill="FFFFFF"/>
          <w:lang w:val="en-US" w:eastAsia="zh-CN" w:bidi="ar"/>
        </w:rPr>
        <w:t>（九）负责全区食品安全监督管理综合协调。组织拟订全区食品安全政策措施并组织实施。负责食品安全应急体系建设，组织指导重大食品安全事件应急处置和调查处理工作。建立健全食品安全重要信息直报制度。</w:t>
      </w:r>
      <w:r>
        <w:rPr>
          <w:rFonts w:hint="eastAsia" w:ascii="楷体" w:hAnsi="楷体" w:eastAsia="楷体" w:cs="楷体"/>
          <w:color w:val="666666"/>
          <w:kern w:val="0"/>
          <w:sz w:val="27"/>
          <w:szCs w:val="27"/>
          <w:shd w:val="clear" w:fill="FFFFFF"/>
          <w:lang w:val="en-US" w:eastAsia="zh-CN" w:bidi="ar"/>
        </w:rPr>
        <w:br w:type="textWrapping"/>
      </w:r>
      <w:r>
        <w:rPr>
          <w:rFonts w:hint="eastAsia" w:ascii="楷体" w:hAnsi="楷体" w:eastAsia="楷体" w:cs="楷体"/>
          <w:color w:val="666666"/>
          <w:kern w:val="0"/>
          <w:sz w:val="27"/>
          <w:szCs w:val="27"/>
          <w:shd w:val="clear" w:fill="FFFFFF"/>
          <w:lang w:val="en-US" w:eastAsia="zh-CN" w:bidi="ar"/>
        </w:rPr>
        <w:t>（十）负责全区食品安全监督管理。建立覆盖全区食品生产、流通、消费全过程的监督检查制度和隐患排查治理机制并组织实施，防范区域性、系统性食品安全风险。推动建立食品生产经营者落实主体责任的机制，指导企业建立健全食品安全追溯体系。组织开展全区食品及相关产品安全监督抽检、风险监测、核查处置和风险预警、风险交流工作。组织实施全区特殊食品监督管理工作。</w:t>
      </w:r>
      <w:r>
        <w:rPr>
          <w:rFonts w:hint="eastAsia" w:ascii="楷体" w:hAnsi="楷体" w:eastAsia="楷体" w:cs="楷体"/>
          <w:color w:val="666666"/>
          <w:kern w:val="0"/>
          <w:sz w:val="27"/>
          <w:szCs w:val="27"/>
          <w:shd w:val="clear" w:fill="FFFFFF"/>
          <w:lang w:val="en-US" w:eastAsia="zh-CN" w:bidi="ar"/>
        </w:rPr>
        <w:br w:type="textWrapping"/>
      </w:r>
      <w:r>
        <w:rPr>
          <w:rFonts w:hint="eastAsia" w:ascii="楷体" w:hAnsi="楷体" w:eastAsia="楷体" w:cs="楷体"/>
          <w:color w:val="666666"/>
          <w:kern w:val="0"/>
          <w:sz w:val="27"/>
          <w:szCs w:val="27"/>
          <w:shd w:val="clear" w:fill="FFFFFF"/>
          <w:lang w:val="en-US" w:eastAsia="zh-CN" w:bidi="ar"/>
        </w:rPr>
        <w:t>（十一）负责统一管理全区计量工作。推行法定计量单位和国家计量制度，管理计量器具及量值传递和比对工作。规范、监督商品量和市场计量行为。</w:t>
      </w:r>
      <w:r>
        <w:rPr>
          <w:rFonts w:hint="eastAsia" w:ascii="楷体" w:hAnsi="楷体" w:eastAsia="楷体" w:cs="楷体"/>
          <w:color w:val="666666"/>
          <w:kern w:val="0"/>
          <w:sz w:val="27"/>
          <w:szCs w:val="27"/>
          <w:shd w:val="clear" w:fill="FFFFFF"/>
          <w:lang w:val="en-US" w:eastAsia="zh-CN" w:bidi="ar"/>
        </w:rPr>
        <w:br w:type="textWrapping"/>
      </w:r>
      <w:r>
        <w:rPr>
          <w:rFonts w:hint="eastAsia" w:ascii="楷体" w:hAnsi="楷体" w:eastAsia="楷体" w:cs="楷体"/>
          <w:color w:val="666666"/>
          <w:kern w:val="0"/>
          <w:sz w:val="27"/>
          <w:szCs w:val="27"/>
          <w:shd w:val="clear" w:fill="FFFFFF"/>
          <w:lang w:val="en-US" w:eastAsia="zh-CN" w:bidi="ar"/>
        </w:rPr>
        <w:t>（十二）负责统一管理全区标准化工作。组织实施标准化法律法规。依法承担地方标准组织制定工作。依法协调指导和监督地方标准、团体标准、企业标准制定工作。管理全区商品条码工作。</w:t>
      </w:r>
      <w:r>
        <w:rPr>
          <w:rFonts w:hint="eastAsia" w:ascii="楷体" w:hAnsi="楷体" w:eastAsia="楷体" w:cs="楷体"/>
          <w:color w:val="666666"/>
          <w:kern w:val="0"/>
          <w:sz w:val="27"/>
          <w:szCs w:val="27"/>
          <w:shd w:val="clear" w:fill="FFFFFF"/>
          <w:lang w:val="en-US" w:eastAsia="zh-CN" w:bidi="ar"/>
        </w:rPr>
        <w:br w:type="textWrapping"/>
      </w:r>
      <w:r>
        <w:rPr>
          <w:rFonts w:hint="eastAsia" w:ascii="楷体" w:hAnsi="楷体" w:eastAsia="楷体" w:cs="楷体"/>
          <w:color w:val="666666"/>
          <w:kern w:val="0"/>
          <w:sz w:val="27"/>
          <w:szCs w:val="27"/>
          <w:shd w:val="clear" w:fill="FFFFFF"/>
          <w:lang w:val="en-US" w:eastAsia="zh-CN" w:bidi="ar"/>
        </w:rPr>
        <w:t>（十三）负责统一管理全区检验检测工作。拟订全区检验检测工作制度并组织实施，推进检验检测机构改革，规范检验检测市场，完善检验检测体系，指导协调检验检测行业发展。</w:t>
      </w:r>
      <w:r>
        <w:rPr>
          <w:rFonts w:hint="eastAsia" w:ascii="楷体" w:hAnsi="楷体" w:eastAsia="楷体" w:cs="楷体"/>
          <w:color w:val="666666"/>
          <w:kern w:val="0"/>
          <w:sz w:val="27"/>
          <w:szCs w:val="27"/>
          <w:shd w:val="clear" w:fill="FFFFFF"/>
          <w:lang w:val="en-US" w:eastAsia="zh-CN" w:bidi="ar"/>
        </w:rPr>
        <w:br w:type="textWrapping"/>
      </w:r>
      <w:r>
        <w:rPr>
          <w:rFonts w:hint="eastAsia" w:ascii="楷体" w:hAnsi="楷体" w:eastAsia="楷体" w:cs="楷体"/>
          <w:color w:val="666666"/>
          <w:kern w:val="0"/>
          <w:sz w:val="27"/>
          <w:szCs w:val="27"/>
          <w:shd w:val="clear" w:fill="FFFFFF"/>
          <w:lang w:val="en-US" w:eastAsia="zh-CN" w:bidi="ar"/>
        </w:rPr>
        <w:t>（十四）负责统一管理、监督和综合协调全区认证认可工作。组织实施国家统一的认证认可和合格评定监督管理制度。</w:t>
      </w:r>
      <w:r>
        <w:rPr>
          <w:rFonts w:hint="eastAsia" w:ascii="楷体" w:hAnsi="楷体" w:eastAsia="楷体" w:cs="楷体"/>
          <w:color w:val="666666"/>
          <w:kern w:val="0"/>
          <w:sz w:val="27"/>
          <w:szCs w:val="27"/>
          <w:shd w:val="clear" w:fill="FFFFFF"/>
          <w:lang w:val="en-US" w:eastAsia="zh-CN" w:bidi="ar"/>
        </w:rPr>
        <w:br w:type="textWrapping"/>
      </w:r>
      <w:r>
        <w:rPr>
          <w:rFonts w:hint="eastAsia" w:ascii="楷体" w:hAnsi="楷体" w:eastAsia="楷体" w:cs="楷体"/>
          <w:color w:val="666666"/>
          <w:kern w:val="0"/>
          <w:sz w:val="27"/>
          <w:szCs w:val="27"/>
          <w:shd w:val="clear" w:fill="FFFFFF"/>
          <w:lang w:val="en-US" w:eastAsia="zh-CN" w:bidi="ar"/>
        </w:rPr>
        <w:t>（十五）负责全区知识产权监督管理和保护运用。拟订实施知识产权创造、保护、运用和交易运营的政策、规划。建设完善知识产权保护体系、公共服务体系、指导商标专利执法，保护知识产权，促进知识产权创造和运用。</w:t>
      </w:r>
      <w:r>
        <w:rPr>
          <w:rFonts w:hint="eastAsia" w:ascii="楷体" w:hAnsi="楷体" w:eastAsia="楷体" w:cs="楷体"/>
          <w:color w:val="666666"/>
          <w:kern w:val="0"/>
          <w:sz w:val="27"/>
          <w:szCs w:val="27"/>
          <w:shd w:val="clear" w:fill="FFFFFF"/>
          <w:lang w:val="en-US" w:eastAsia="zh-CN" w:bidi="ar"/>
        </w:rPr>
        <w:br w:type="textWrapping"/>
      </w:r>
      <w:r>
        <w:rPr>
          <w:rFonts w:hint="eastAsia" w:ascii="楷体" w:hAnsi="楷体" w:eastAsia="楷体" w:cs="楷体"/>
          <w:color w:val="666666"/>
          <w:kern w:val="0"/>
          <w:sz w:val="27"/>
          <w:szCs w:val="27"/>
          <w:shd w:val="clear" w:fill="FFFFFF"/>
          <w:lang w:val="en-US" w:eastAsia="zh-CN" w:bidi="ar"/>
        </w:rPr>
        <w:t>（十六）负责市场监督管理科技和信息化建设、新闻宣传、对外交流与合作。按规定承担技术性贸易措施有关工作。</w:t>
      </w:r>
      <w:r>
        <w:rPr>
          <w:rFonts w:hint="eastAsia" w:ascii="楷体" w:hAnsi="楷体" w:eastAsia="楷体" w:cs="楷体"/>
          <w:color w:val="666666"/>
          <w:kern w:val="0"/>
          <w:sz w:val="27"/>
          <w:szCs w:val="27"/>
          <w:shd w:val="clear" w:fill="FFFFFF"/>
          <w:lang w:val="en-US" w:eastAsia="zh-CN" w:bidi="ar"/>
        </w:rPr>
        <w:br w:type="textWrapping"/>
      </w:r>
      <w:r>
        <w:rPr>
          <w:rFonts w:hint="eastAsia" w:ascii="楷体" w:hAnsi="楷体" w:eastAsia="楷体" w:cs="楷体"/>
          <w:color w:val="666666"/>
          <w:kern w:val="0"/>
          <w:sz w:val="27"/>
          <w:szCs w:val="27"/>
          <w:shd w:val="clear" w:fill="FFFFFF"/>
          <w:lang w:val="en-US" w:eastAsia="zh-CN" w:bidi="ar"/>
        </w:rPr>
        <w:t>（十七）负责促进全区非公经济发展，指导、协调全区市场监督管理系统开展小微企业、个体工商户、专业市场党建工作。</w:t>
      </w:r>
      <w:r>
        <w:rPr>
          <w:rFonts w:hint="eastAsia" w:ascii="楷体" w:hAnsi="楷体" w:eastAsia="楷体" w:cs="楷体"/>
          <w:color w:val="666666"/>
          <w:kern w:val="0"/>
          <w:sz w:val="27"/>
          <w:szCs w:val="27"/>
          <w:shd w:val="clear" w:fill="FFFFFF"/>
          <w:lang w:val="en-US" w:eastAsia="zh-CN" w:bidi="ar"/>
        </w:rPr>
        <w:br w:type="textWrapping"/>
      </w:r>
      <w:r>
        <w:rPr>
          <w:rFonts w:hint="eastAsia" w:ascii="楷体" w:hAnsi="楷体" w:eastAsia="楷体" w:cs="楷体"/>
          <w:color w:val="666666"/>
          <w:kern w:val="0"/>
          <w:sz w:val="27"/>
          <w:szCs w:val="27"/>
          <w:shd w:val="clear" w:fill="FFFFFF"/>
          <w:lang w:val="en-US" w:eastAsia="zh-CN" w:bidi="ar"/>
        </w:rPr>
        <w:t>（十八）负责全区药品零售、医疗器械经营的许可、检查和处罚,以及化妆品经营和药品、医疗器械使用环节质量的检查和处罚。组织实施药品、医疗器械经营、使用质量管理规范,负责对全区疫苗、麻醉药品、精神药品、毒性药品、放射性药品等特殊管理药品的质量监管。负责全区药品、医疗器械和化妆品总体质量状况的评价性抽样检验和监督性检验工作,组织开展全区药品不良反应、医疗器械不良事件的监测和处置工作。负责实施全区药品、医疗器械和化妆品监督管理的稽查制度,实施问题产品召回和处置制度。</w:t>
      </w:r>
      <w:r>
        <w:rPr>
          <w:rFonts w:hint="eastAsia" w:ascii="楷体" w:hAnsi="楷体" w:eastAsia="楷体" w:cs="楷体"/>
          <w:color w:val="666666"/>
          <w:kern w:val="0"/>
          <w:sz w:val="27"/>
          <w:szCs w:val="27"/>
          <w:shd w:val="clear" w:fill="FFFFFF"/>
          <w:lang w:val="en-US" w:eastAsia="zh-CN" w:bidi="ar"/>
        </w:rPr>
        <w:br w:type="textWrapping"/>
      </w:r>
      <w:r>
        <w:rPr>
          <w:rFonts w:hint="eastAsia" w:ascii="楷体" w:hAnsi="楷体" w:eastAsia="楷体" w:cs="楷体"/>
          <w:color w:val="666666"/>
          <w:kern w:val="0"/>
          <w:sz w:val="27"/>
          <w:szCs w:val="27"/>
          <w:shd w:val="clear" w:fill="FFFFFF"/>
          <w:lang w:val="en-US" w:eastAsia="zh-CN" w:bidi="ar"/>
        </w:rPr>
        <w:t>（十九）完成市委、市政府交办的其他任务。</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二、</w:t>
      </w:r>
      <w:r>
        <w:rPr>
          <w:rFonts w:hint="eastAsia" w:ascii="楷体" w:hAnsi="楷体" w:eastAsia="楷体" w:cs="Arial"/>
          <w:color w:val="666666"/>
          <w:kern w:val="0"/>
          <w:sz w:val="27"/>
          <w:szCs w:val="27"/>
          <w:shd w:val="clear" w:color="auto" w:fill="FFFFFF"/>
          <w:lang w:eastAsia="zh-CN"/>
        </w:rPr>
        <w:t>区</w:t>
      </w:r>
      <w:r>
        <w:rPr>
          <w:rFonts w:hint="eastAsia" w:ascii="楷体" w:hAnsi="楷体" w:eastAsia="楷体" w:cs="Arial"/>
          <w:color w:val="666666"/>
          <w:kern w:val="0"/>
          <w:sz w:val="27"/>
          <w:szCs w:val="27"/>
          <w:shd w:val="clear" w:color="auto" w:fill="FFFFFF"/>
        </w:rPr>
        <w:t>局机构设置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both"/>
        <w:rPr>
          <w:rFonts w:hint="eastAsia" w:ascii="楷体" w:hAnsi="楷体" w:eastAsia="楷体" w:cs="楷体"/>
          <w:color w:val="666666"/>
          <w:kern w:val="0"/>
          <w:sz w:val="27"/>
          <w:szCs w:val="27"/>
          <w:shd w:val="clear" w:fill="FFFFFF"/>
          <w:lang w:val="en-US" w:eastAsia="zh-CN" w:bidi="ar"/>
        </w:rPr>
      </w:pPr>
      <w:r>
        <w:rPr>
          <w:rFonts w:hint="eastAsia" w:ascii="楷体" w:hAnsi="楷体" w:eastAsia="楷体" w:cs="楷体"/>
          <w:color w:val="666666"/>
          <w:kern w:val="0"/>
          <w:sz w:val="27"/>
          <w:szCs w:val="27"/>
          <w:shd w:val="clear" w:fill="FFFFFF"/>
          <w:lang w:val="en-US" w:eastAsia="zh-CN" w:bidi="ar"/>
        </w:rPr>
        <w:t>（一）浉河区市场监督管理局机关、10个乡所、一个稽查队。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both"/>
        <w:rPr>
          <w:rFonts w:hint="eastAsia" w:ascii="楷体" w:hAnsi="楷体" w:eastAsia="楷体" w:cs="楷体"/>
          <w:color w:val="666666"/>
          <w:kern w:val="0"/>
          <w:sz w:val="27"/>
          <w:szCs w:val="27"/>
          <w:shd w:val="clear" w:fill="FFFFFF"/>
          <w:lang w:val="en-US" w:eastAsia="zh-CN" w:bidi="ar"/>
        </w:rPr>
      </w:pPr>
      <w:r>
        <w:rPr>
          <w:rFonts w:hint="eastAsia" w:ascii="楷体" w:hAnsi="楷体" w:eastAsia="楷体" w:cs="楷体"/>
          <w:color w:val="666666"/>
          <w:kern w:val="0"/>
          <w:sz w:val="27"/>
          <w:szCs w:val="27"/>
          <w:shd w:val="clear" w:fill="FFFFFF"/>
          <w:lang w:val="en-US" w:eastAsia="zh-CN" w:bidi="ar"/>
        </w:rPr>
        <w:t>（二）浉河区市场监督管理局机关内设27个股室、队、中心，分别为办公室（应急管理办公室）、法规股、执法稽查股、登记注册股、行政审批股、信用监督股、价格监督股、反不正当竞争股（规范直销与打击传销办公室）、网络交易监督管理股、市场合同监督管理股、广告监督管理股、产品质量安全监督管理股、食品生产安全监督管理股、餐饮服务食品安全监督管理股、产品质量检验检测监督管理股；食品安全协调股（食安办）、药品、化妆品监督管理股、医疗器械监督管理股、特种设备安全监察股、标准计量股、质量发展认证监督管理股、知识产权促进和保护股、消费者权益保护股、科技和财务审计股、人事股，共25个职能股室，下设浉河区市场监督管理综合执法大队、浉河区市场监督管理局12315指挥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both"/>
        <w:rPr>
          <w:rFonts w:hint="eastAsia" w:ascii="楷体" w:hAnsi="楷体" w:eastAsia="楷体" w:cs="楷体"/>
          <w:color w:val="666666"/>
          <w:kern w:val="0"/>
          <w:sz w:val="27"/>
          <w:szCs w:val="27"/>
          <w:shd w:val="clear" w:fill="FFFFFF"/>
          <w:lang w:val="en-US" w:eastAsia="zh-CN" w:bidi="ar"/>
        </w:rPr>
      </w:pPr>
    </w:p>
    <w:p>
      <w:pPr>
        <w:widowControl/>
        <w:jc w:val="left"/>
        <w:rPr>
          <w:rFonts w:hint="eastAsia" w:ascii="楷体" w:hAnsi="楷体" w:eastAsia="楷体" w:cs="Arial"/>
          <w:color w:val="666666"/>
          <w:kern w:val="0"/>
          <w:sz w:val="27"/>
          <w:szCs w:val="27"/>
          <w:shd w:val="clear" w:color="auto" w:fill="FFFFFF"/>
          <w:lang w:eastAsia="zh-CN"/>
        </w:rPr>
      </w:pPr>
    </w:p>
    <w:p>
      <w:pPr>
        <w:widowControl/>
        <w:jc w:val="left"/>
        <w:rPr>
          <w:rFonts w:hint="eastAsia" w:ascii="楷体" w:hAnsi="楷体" w:eastAsia="楷体" w:cs="Arial"/>
          <w:color w:val="666666"/>
          <w:kern w:val="0"/>
          <w:sz w:val="27"/>
          <w:szCs w:val="27"/>
          <w:shd w:val="clear" w:color="auto" w:fill="FFFFFF"/>
          <w:lang w:eastAsia="zh-CN"/>
        </w:rPr>
      </w:pPr>
    </w:p>
    <w:p>
      <w:pPr>
        <w:widowControl/>
        <w:jc w:val="left"/>
        <w:rPr>
          <w:rFonts w:hint="eastAsia" w:ascii="楷体" w:hAnsi="楷体" w:eastAsia="楷体" w:cs="Arial"/>
          <w:color w:val="666666"/>
          <w:kern w:val="0"/>
          <w:sz w:val="27"/>
          <w:szCs w:val="27"/>
          <w:shd w:val="clear" w:color="auto" w:fill="FFFFFF"/>
          <w:lang w:eastAsia="zh-CN"/>
        </w:rPr>
      </w:pPr>
    </w:p>
    <w:p>
      <w:pPr>
        <w:widowControl/>
        <w:jc w:val="left"/>
        <w:rPr>
          <w:rFonts w:hint="eastAsia" w:ascii="楷体" w:hAnsi="楷体" w:eastAsia="楷体" w:cs="Arial"/>
          <w:color w:val="666666"/>
          <w:kern w:val="0"/>
          <w:sz w:val="27"/>
          <w:szCs w:val="27"/>
          <w:shd w:val="clear" w:color="auto" w:fill="FFFFFF"/>
          <w:lang w:eastAsia="zh-CN"/>
        </w:rPr>
      </w:pPr>
    </w:p>
    <w:p>
      <w:pPr>
        <w:widowControl/>
        <w:jc w:val="left"/>
        <w:rPr>
          <w:rFonts w:hint="eastAsia" w:ascii="楷体" w:hAnsi="楷体" w:eastAsia="楷体" w:cs="Arial"/>
          <w:color w:val="666666"/>
          <w:kern w:val="0"/>
          <w:sz w:val="27"/>
          <w:szCs w:val="27"/>
          <w:shd w:val="clear" w:color="auto" w:fill="FFFFFF"/>
          <w:lang w:eastAsia="zh-CN"/>
        </w:rPr>
      </w:pPr>
    </w:p>
    <w:p>
      <w:pPr>
        <w:widowControl/>
        <w:jc w:val="left"/>
        <w:rPr>
          <w:rFonts w:hint="eastAsia" w:ascii="楷体" w:hAnsi="楷体" w:eastAsia="楷体" w:cs="Arial"/>
          <w:color w:val="666666"/>
          <w:kern w:val="0"/>
          <w:sz w:val="27"/>
          <w:szCs w:val="27"/>
          <w:shd w:val="clear" w:color="auto" w:fill="FFFFFF"/>
          <w:lang w:eastAsia="zh-CN"/>
        </w:rPr>
      </w:pPr>
    </w:p>
    <w:p>
      <w:pPr>
        <w:widowControl/>
        <w:jc w:val="left"/>
        <w:rPr>
          <w:rFonts w:hint="eastAsia" w:ascii="Arial" w:hAnsi="Arial" w:eastAsia="宋体" w:cs="Arial"/>
          <w:color w:val="666666"/>
          <w:kern w:val="0"/>
          <w:szCs w:val="21"/>
          <w:lang w:eastAsia="zh-CN"/>
        </w:rPr>
      </w:pPr>
    </w:p>
    <w:p>
      <w:pPr>
        <w:widowControl/>
        <w:shd w:val="clear" w:color="auto" w:fill="FFFFFF"/>
        <w:jc w:val="center"/>
        <w:rPr>
          <w:rFonts w:hint="eastAsia" w:ascii="楷体" w:hAnsi="楷体" w:eastAsia="楷体" w:cs="Arial"/>
          <w:b/>
          <w:bCs/>
          <w:color w:val="666666"/>
          <w:kern w:val="0"/>
          <w:sz w:val="27"/>
          <w:szCs w:val="27"/>
          <w:lang w:eastAsia="zh-CN"/>
        </w:rPr>
      </w:pPr>
      <w:r>
        <w:rPr>
          <w:rFonts w:hint="eastAsia" w:ascii="楷体" w:hAnsi="楷体" w:eastAsia="楷体" w:cs="Arial"/>
          <w:b/>
          <w:bCs/>
          <w:color w:val="666666"/>
          <w:kern w:val="0"/>
          <w:sz w:val="27"/>
          <w:szCs w:val="27"/>
        </w:rPr>
        <w:t>第二部分</w:t>
      </w:r>
    </w:p>
    <w:p>
      <w:pPr>
        <w:widowControl/>
        <w:shd w:val="clear" w:color="auto" w:fill="FFFFFF"/>
        <w:jc w:val="center"/>
        <w:rPr>
          <w:rFonts w:hint="eastAsia" w:ascii="楷体" w:hAnsi="楷体" w:eastAsia="楷体" w:cs="Arial"/>
          <w:b/>
          <w:bCs/>
          <w:color w:val="666666"/>
          <w:kern w:val="0"/>
          <w:sz w:val="27"/>
          <w:szCs w:val="27"/>
          <w:lang w:eastAsia="zh-CN"/>
        </w:rPr>
      </w:pPr>
      <w:r>
        <w:rPr>
          <w:rFonts w:hint="eastAsia" w:ascii="楷体" w:hAnsi="楷体" w:eastAsia="楷体" w:cs="楷体"/>
          <w:b/>
          <w:bCs/>
          <w:color w:val="666666"/>
          <w:kern w:val="0"/>
          <w:sz w:val="27"/>
          <w:szCs w:val="27"/>
          <w:shd w:val="clear" w:fill="FFFFFF"/>
          <w:lang w:val="en-US" w:eastAsia="zh-CN" w:bidi="ar"/>
        </w:rPr>
        <w:t>信阳市浉河区市场监督管理局</w:t>
      </w:r>
      <w:r>
        <w:rPr>
          <w:rFonts w:hint="eastAsia" w:ascii="楷体" w:hAnsi="楷体" w:eastAsia="楷体" w:cs="Arial"/>
          <w:b/>
          <w:bCs/>
          <w:color w:val="666666"/>
          <w:kern w:val="0"/>
          <w:sz w:val="27"/>
          <w:szCs w:val="27"/>
        </w:rPr>
        <w:t>2021年度部门预算情况说明</w:t>
      </w:r>
    </w:p>
    <w:p>
      <w:pPr>
        <w:widowControl/>
        <w:shd w:val="clear" w:color="auto" w:fill="FFFFFF"/>
        <w:jc w:val="center"/>
        <w:rPr>
          <w:rFonts w:ascii="Arial" w:hAnsi="Arial" w:eastAsia="宋体" w:cs="Arial"/>
          <w:color w:val="666666"/>
          <w:kern w:val="0"/>
          <w:szCs w:val="21"/>
        </w:rPr>
      </w:pPr>
      <w:r>
        <w:rPr>
          <w:rFonts w:ascii="Arial" w:hAnsi="Arial" w:eastAsia="宋体" w:cs="Arial"/>
          <w:color w:val="666666"/>
          <w:kern w:val="0"/>
          <w:szCs w:val="21"/>
        </w:rPr>
        <w:t> </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一、收入支出预算总体情况说明</w:t>
      </w:r>
    </w:p>
    <w:p>
      <w:pPr>
        <w:widowControl/>
        <w:jc w:val="left"/>
        <w:rPr>
          <w:rFonts w:hint="eastAsia" w:ascii="楷体" w:hAnsi="楷体" w:eastAsia="楷体" w:cs="Arial"/>
          <w:color w:val="666666"/>
          <w:kern w:val="0"/>
          <w:sz w:val="27"/>
          <w:szCs w:val="27"/>
          <w:shd w:val="clear" w:color="auto" w:fill="FFFFFF"/>
        </w:rPr>
      </w:pPr>
      <w:r>
        <w:rPr>
          <w:rFonts w:hint="eastAsia" w:ascii="楷体" w:hAnsi="楷体" w:eastAsia="楷体" w:cs="Arial"/>
          <w:color w:val="666666"/>
          <w:kern w:val="0"/>
          <w:sz w:val="27"/>
          <w:szCs w:val="27"/>
          <w:shd w:val="clear" w:color="auto" w:fill="FFFFFF"/>
          <w:lang w:val="en-US" w:eastAsia="zh-CN"/>
        </w:rPr>
        <w:t>浉河区市场监督管理局</w:t>
      </w:r>
      <w:r>
        <w:rPr>
          <w:rFonts w:hint="eastAsia" w:ascii="楷体" w:hAnsi="楷体" w:eastAsia="楷体" w:cs="Arial"/>
          <w:color w:val="666666"/>
          <w:kern w:val="0"/>
          <w:sz w:val="27"/>
          <w:szCs w:val="27"/>
          <w:shd w:val="clear" w:color="auto" w:fill="FFFFFF"/>
        </w:rPr>
        <w:t>2021年度收入总计1531.8万元，支出总计1531.8万元，与2020年相比，收入减少47万元，支出减少47万元，减浮2%。</w:t>
      </w:r>
      <w:r>
        <w:rPr>
          <w:rFonts w:hint="eastAsia" w:ascii="楷体" w:hAnsi="楷体" w:eastAsia="楷体" w:cs="Arial"/>
          <w:color w:val="666666"/>
          <w:kern w:val="0"/>
          <w:sz w:val="27"/>
          <w:szCs w:val="27"/>
          <w:shd w:val="clear" w:color="auto" w:fill="FFFFFF"/>
          <w:lang w:val="en-US" w:eastAsia="zh-CN"/>
        </w:rPr>
        <w:t>主要原因：人</w:t>
      </w:r>
      <w:r>
        <w:rPr>
          <w:rFonts w:hint="eastAsia" w:ascii="楷体" w:hAnsi="楷体" w:eastAsia="楷体" w:cs="Arial"/>
          <w:color w:val="666666"/>
          <w:kern w:val="0"/>
          <w:sz w:val="27"/>
          <w:szCs w:val="27"/>
          <w:shd w:val="clear" w:color="auto" w:fill="FFFFFF"/>
        </w:rPr>
        <w:t>员</w:t>
      </w:r>
      <w:r>
        <w:rPr>
          <w:rFonts w:hint="eastAsia" w:ascii="楷体" w:hAnsi="楷体" w:eastAsia="楷体" w:cs="Arial"/>
          <w:color w:val="666666"/>
          <w:kern w:val="0"/>
          <w:sz w:val="27"/>
          <w:szCs w:val="27"/>
          <w:shd w:val="clear" w:color="auto" w:fill="FFFFFF"/>
          <w:lang w:eastAsia="zh-CN"/>
        </w:rPr>
        <w:t>调出，</w:t>
      </w:r>
      <w:r>
        <w:rPr>
          <w:rFonts w:hint="eastAsia" w:ascii="楷体" w:hAnsi="楷体" w:eastAsia="楷体" w:cs="Arial"/>
          <w:color w:val="666666"/>
          <w:kern w:val="0"/>
          <w:sz w:val="27"/>
          <w:szCs w:val="27"/>
          <w:shd w:val="clear" w:color="auto" w:fill="FFFFFF"/>
        </w:rPr>
        <w:t>经费</w:t>
      </w:r>
      <w:r>
        <w:rPr>
          <w:rFonts w:hint="eastAsia" w:ascii="楷体" w:hAnsi="楷体" w:eastAsia="楷体" w:cs="Arial"/>
          <w:color w:val="666666"/>
          <w:kern w:val="0"/>
          <w:sz w:val="27"/>
          <w:szCs w:val="27"/>
          <w:shd w:val="clear" w:color="auto" w:fill="FFFFFF"/>
          <w:lang w:eastAsia="zh-CN"/>
        </w:rPr>
        <w:t>相应减少</w:t>
      </w:r>
      <w:r>
        <w:rPr>
          <w:rFonts w:hint="eastAsia" w:ascii="楷体" w:hAnsi="楷体" w:eastAsia="楷体" w:cs="Arial"/>
          <w:color w:val="666666"/>
          <w:kern w:val="0"/>
          <w:sz w:val="27"/>
          <w:szCs w:val="27"/>
          <w:shd w:val="clear" w:color="auto" w:fill="FFFFFF"/>
        </w:rPr>
        <w:t>。</w:t>
      </w:r>
      <w:bookmarkStart w:id="0" w:name="_GoBack"/>
      <w:bookmarkEnd w:id="0"/>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二、收入预算总体情况说明</w:t>
      </w:r>
    </w:p>
    <w:p>
      <w:pPr>
        <w:adjustRightInd w:val="0"/>
        <w:snapToGrid w:val="0"/>
        <w:spacing w:line="360" w:lineRule="auto"/>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lang w:val="en-US" w:eastAsia="zh-CN"/>
        </w:rPr>
        <w:t>浉河区市场监督管理局2021年度收入合计1531.8万元，其中：财政拨款收入1531.8万元，占100 %；事业收入0 万元，占 0 %；经营收入0万元，占 0 %；其他收入0万元，占0 %。</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三、支出预算总体情况说明</w:t>
      </w:r>
    </w:p>
    <w:p>
      <w:pPr>
        <w:adjustRightInd w:val="0"/>
        <w:snapToGrid w:val="0"/>
        <w:spacing w:line="360" w:lineRule="auto"/>
        <w:rPr>
          <w:rFonts w:hint="eastAsia" w:ascii="楷体" w:hAnsi="楷体" w:eastAsia="楷体" w:cs="Arial"/>
          <w:color w:val="666666"/>
          <w:kern w:val="0"/>
          <w:sz w:val="27"/>
          <w:szCs w:val="27"/>
          <w:shd w:val="clear" w:color="auto" w:fill="FFFFFF"/>
          <w:lang w:val="en-US" w:eastAsia="zh-CN"/>
        </w:rPr>
      </w:pPr>
      <w:r>
        <w:rPr>
          <w:rFonts w:hint="eastAsia" w:ascii="楷体" w:hAnsi="楷体" w:eastAsia="楷体" w:cs="Arial"/>
          <w:color w:val="666666"/>
          <w:kern w:val="0"/>
          <w:sz w:val="27"/>
          <w:szCs w:val="27"/>
          <w:shd w:val="clear" w:color="auto" w:fill="FFFFFF"/>
          <w:lang w:val="en-US" w:eastAsia="zh-CN"/>
        </w:rPr>
        <w:t>浉河区市场监督管理局2021年度支出合计1531.8万元，其中：基本支出1432.6万元，占93%；项目支出99.2万元，占7%；经营支出0万元，占0%。</w:t>
      </w:r>
    </w:p>
    <w:p>
      <w:pPr>
        <w:adjustRightInd w:val="0"/>
        <w:snapToGrid w:val="0"/>
        <w:spacing w:line="360" w:lineRule="auto"/>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四、财政拨款收入支出预算总体情况说明</w:t>
      </w:r>
    </w:p>
    <w:p>
      <w:pPr>
        <w:adjustRightInd w:val="0"/>
        <w:snapToGrid w:val="0"/>
        <w:spacing w:line="360" w:lineRule="auto"/>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lang w:val="en-US" w:eastAsia="zh-CN"/>
        </w:rPr>
        <w:t>浉河区市场监督管理局2021年财政拨款收支总预算1531.8万元。与2020年相比，财政拨款收、支总计减少47万元，下降2%，主要原因：人</w:t>
      </w:r>
      <w:r>
        <w:rPr>
          <w:rFonts w:hint="eastAsia" w:ascii="楷体" w:hAnsi="楷体" w:eastAsia="楷体" w:cs="Arial"/>
          <w:color w:val="666666"/>
          <w:kern w:val="0"/>
          <w:sz w:val="27"/>
          <w:szCs w:val="27"/>
          <w:shd w:val="clear" w:color="auto" w:fill="FFFFFF"/>
        </w:rPr>
        <w:t>员</w:t>
      </w:r>
      <w:r>
        <w:rPr>
          <w:rFonts w:hint="eastAsia" w:ascii="楷体" w:hAnsi="楷体" w:eastAsia="楷体" w:cs="Arial"/>
          <w:color w:val="666666"/>
          <w:kern w:val="0"/>
          <w:sz w:val="27"/>
          <w:szCs w:val="27"/>
          <w:shd w:val="clear" w:color="auto" w:fill="FFFFFF"/>
          <w:lang w:eastAsia="zh-CN"/>
        </w:rPr>
        <w:t>调出，人员</w:t>
      </w:r>
      <w:r>
        <w:rPr>
          <w:rFonts w:hint="eastAsia" w:ascii="楷体" w:hAnsi="楷体" w:eastAsia="楷体" w:cs="Arial"/>
          <w:color w:val="666666"/>
          <w:kern w:val="0"/>
          <w:sz w:val="27"/>
          <w:szCs w:val="27"/>
          <w:shd w:val="clear" w:color="auto" w:fill="FFFFFF"/>
        </w:rPr>
        <w:t>经费</w:t>
      </w:r>
      <w:r>
        <w:rPr>
          <w:rFonts w:hint="eastAsia" w:ascii="楷体" w:hAnsi="楷体" w:eastAsia="楷体" w:cs="Arial"/>
          <w:color w:val="666666"/>
          <w:kern w:val="0"/>
          <w:sz w:val="27"/>
          <w:szCs w:val="27"/>
          <w:shd w:val="clear" w:color="auto" w:fill="FFFFFF"/>
          <w:lang w:eastAsia="zh-CN"/>
        </w:rPr>
        <w:t>相应减少</w:t>
      </w:r>
      <w:r>
        <w:rPr>
          <w:rFonts w:hint="eastAsia" w:ascii="楷体" w:hAnsi="楷体" w:eastAsia="楷体" w:cs="Arial"/>
          <w:color w:val="666666"/>
          <w:kern w:val="0"/>
          <w:sz w:val="27"/>
          <w:szCs w:val="27"/>
          <w:shd w:val="clear" w:color="auto" w:fill="FFFFFF"/>
        </w:rPr>
        <w:t>。</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五、一般公共预算支出预算情况说明</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lang w:val="en-US" w:eastAsia="zh-CN"/>
        </w:rPr>
        <w:t>浉河区市场监督管理局</w:t>
      </w:r>
      <w:r>
        <w:rPr>
          <w:rFonts w:hint="eastAsia" w:ascii="楷体" w:hAnsi="楷体" w:eastAsia="楷体" w:cs="Arial"/>
          <w:color w:val="666666"/>
          <w:kern w:val="0"/>
          <w:sz w:val="27"/>
          <w:szCs w:val="27"/>
          <w:shd w:val="clear" w:color="auto" w:fill="FFFFFF"/>
        </w:rPr>
        <w:t>2021年一般公共预算支出年初预算为</w:t>
      </w:r>
      <w:r>
        <w:rPr>
          <w:rFonts w:hint="eastAsia" w:ascii="楷体" w:hAnsi="楷体" w:eastAsia="楷体" w:cs="Arial"/>
          <w:color w:val="666666"/>
          <w:kern w:val="0"/>
          <w:sz w:val="27"/>
          <w:szCs w:val="27"/>
          <w:shd w:val="clear" w:color="auto" w:fill="FFFFFF"/>
          <w:lang w:val="en-US" w:eastAsia="zh-CN"/>
        </w:rPr>
        <w:t>1531.8</w:t>
      </w:r>
      <w:r>
        <w:rPr>
          <w:rFonts w:hint="eastAsia" w:ascii="楷体" w:hAnsi="楷体" w:eastAsia="楷体" w:cs="Arial"/>
          <w:color w:val="666666"/>
          <w:kern w:val="0"/>
          <w:sz w:val="27"/>
          <w:szCs w:val="27"/>
          <w:shd w:val="clear" w:color="auto" w:fill="FFFFFF"/>
        </w:rPr>
        <w:t>万元。主要用于以下方面：一般公共预算基本支出</w:t>
      </w:r>
      <w:r>
        <w:rPr>
          <w:rFonts w:hint="eastAsia" w:ascii="楷体" w:hAnsi="楷体" w:eastAsia="楷体" w:cs="Arial"/>
          <w:color w:val="666666"/>
          <w:kern w:val="0"/>
          <w:sz w:val="27"/>
          <w:szCs w:val="27"/>
          <w:shd w:val="clear" w:color="auto" w:fill="FFFFFF"/>
          <w:lang w:val="en-US" w:eastAsia="zh-CN"/>
        </w:rPr>
        <w:t>1260.523万元，占82.29%，</w:t>
      </w:r>
      <w:r>
        <w:rPr>
          <w:rFonts w:hint="eastAsia" w:ascii="楷体" w:hAnsi="楷体" w:eastAsia="楷体" w:cs="Arial"/>
          <w:color w:val="666666"/>
          <w:kern w:val="0"/>
          <w:sz w:val="27"/>
          <w:szCs w:val="27"/>
          <w:shd w:val="clear" w:color="auto" w:fill="FFFFFF"/>
        </w:rPr>
        <w:t>社会保障和就业支出</w:t>
      </w:r>
      <w:r>
        <w:rPr>
          <w:rFonts w:hint="eastAsia" w:ascii="楷体" w:hAnsi="楷体" w:eastAsia="楷体" w:cs="Arial"/>
          <w:color w:val="666666"/>
          <w:kern w:val="0"/>
          <w:sz w:val="27"/>
          <w:szCs w:val="27"/>
          <w:shd w:val="clear" w:color="auto" w:fill="FFFFFF"/>
          <w:lang w:val="en-US" w:eastAsia="zh-CN"/>
        </w:rPr>
        <w:t>149.2077</w:t>
      </w:r>
      <w:r>
        <w:rPr>
          <w:rFonts w:hint="eastAsia" w:ascii="楷体" w:hAnsi="楷体" w:eastAsia="楷体" w:cs="Arial"/>
          <w:color w:val="666666"/>
          <w:kern w:val="0"/>
          <w:sz w:val="27"/>
          <w:szCs w:val="27"/>
          <w:shd w:val="clear" w:color="auto" w:fill="FFFFFF"/>
        </w:rPr>
        <w:t>万元，占</w:t>
      </w:r>
      <w:r>
        <w:rPr>
          <w:rFonts w:hint="eastAsia" w:ascii="楷体" w:hAnsi="楷体" w:eastAsia="楷体" w:cs="Arial"/>
          <w:color w:val="666666"/>
          <w:kern w:val="0"/>
          <w:sz w:val="27"/>
          <w:szCs w:val="27"/>
          <w:shd w:val="clear" w:color="auto" w:fill="FFFFFF"/>
          <w:lang w:val="en-US" w:eastAsia="zh-CN"/>
        </w:rPr>
        <w:t>9.74</w:t>
      </w:r>
      <w:r>
        <w:rPr>
          <w:rFonts w:hint="eastAsia" w:ascii="楷体" w:hAnsi="楷体" w:eastAsia="楷体" w:cs="Arial"/>
          <w:color w:val="666666"/>
          <w:kern w:val="0"/>
          <w:sz w:val="27"/>
          <w:szCs w:val="27"/>
          <w:shd w:val="clear" w:color="auto" w:fill="FFFFFF"/>
        </w:rPr>
        <w:t>%；医疗卫生支出</w:t>
      </w:r>
      <w:r>
        <w:rPr>
          <w:rFonts w:hint="eastAsia" w:ascii="楷体" w:hAnsi="楷体" w:eastAsia="楷体" w:cs="Arial"/>
          <w:color w:val="666666"/>
          <w:kern w:val="0"/>
          <w:sz w:val="27"/>
          <w:szCs w:val="27"/>
          <w:shd w:val="clear" w:color="auto" w:fill="FFFFFF"/>
          <w:lang w:val="en-US" w:eastAsia="zh-CN"/>
        </w:rPr>
        <w:t>49.9103</w:t>
      </w:r>
      <w:r>
        <w:rPr>
          <w:rFonts w:hint="eastAsia" w:ascii="楷体" w:hAnsi="楷体" w:eastAsia="楷体" w:cs="Arial"/>
          <w:color w:val="666666"/>
          <w:kern w:val="0"/>
          <w:sz w:val="27"/>
          <w:szCs w:val="27"/>
          <w:shd w:val="clear" w:color="auto" w:fill="FFFFFF"/>
        </w:rPr>
        <w:t>万元，占</w:t>
      </w:r>
      <w:r>
        <w:rPr>
          <w:rFonts w:hint="eastAsia" w:ascii="楷体" w:hAnsi="楷体" w:eastAsia="楷体" w:cs="Arial"/>
          <w:color w:val="666666"/>
          <w:kern w:val="0"/>
          <w:sz w:val="27"/>
          <w:szCs w:val="27"/>
          <w:shd w:val="clear" w:color="auto" w:fill="FFFFFF"/>
          <w:lang w:val="en-US" w:eastAsia="zh-CN"/>
        </w:rPr>
        <w:t>3.25</w:t>
      </w:r>
      <w:r>
        <w:rPr>
          <w:rFonts w:hint="eastAsia" w:ascii="楷体" w:hAnsi="楷体" w:eastAsia="楷体" w:cs="Arial"/>
          <w:color w:val="666666"/>
          <w:kern w:val="0"/>
          <w:sz w:val="27"/>
          <w:szCs w:val="27"/>
          <w:shd w:val="clear" w:color="auto" w:fill="FFFFFF"/>
        </w:rPr>
        <w:t>%；住房保障（类）支出</w:t>
      </w:r>
      <w:r>
        <w:rPr>
          <w:rFonts w:hint="eastAsia" w:ascii="楷体" w:hAnsi="楷体" w:eastAsia="楷体" w:cs="Arial"/>
          <w:color w:val="666666"/>
          <w:kern w:val="0"/>
          <w:sz w:val="27"/>
          <w:szCs w:val="27"/>
          <w:shd w:val="clear" w:color="auto" w:fill="FFFFFF"/>
          <w:lang w:val="en-US" w:eastAsia="zh-CN"/>
        </w:rPr>
        <w:t>72.159</w:t>
      </w:r>
      <w:r>
        <w:rPr>
          <w:rFonts w:hint="eastAsia" w:ascii="楷体" w:hAnsi="楷体" w:eastAsia="楷体" w:cs="Arial"/>
          <w:color w:val="666666"/>
          <w:kern w:val="0"/>
          <w:sz w:val="27"/>
          <w:szCs w:val="27"/>
          <w:shd w:val="clear" w:color="auto" w:fill="FFFFFF"/>
        </w:rPr>
        <w:t>万元，占</w:t>
      </w:r>
      <w:r>
        <w:rPr>
          <w:rFonts w:hint="eastAsia" w:ascii="楷体" w:hAnsi="楷体" w:eastAsia="楷体" w:cs="Arial"/>
          <w:color w:val="666666"/>
          <w:kern w:val="0"/>
          <w:sz w:val="27"/>
          <w:szCs w:val="27"/>
          <w:shd w:val="clear" w:color="auto" w:fill="FFFFFF"/>
          <w:lang w:val="en-US" w:eastAsia="zh-CN"/>
        </w:rPr>
        <w:t>4.71</w:t>
      </w:r>
      <w:r>
        <w:rPr>
          <w:rFonts w:hint="eastAsia" w:ascii="楷体" w:hAnsi="楷体" w:eastAsia="楷体" w:cs="Arial"/>
          <w:color w:val="666666"/>
          <w:kern w:val="0"/>
          <w:sz w:val="27"/>
          <w:szCs w:val="27"/>
          <w:shd w:val="clear" w:color="auto" w:fill="FFFFFF"/>
        </w:rPr>
        <w:t>%。</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六、一般公共预算基本支出预算情况说明</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lang w:val="en-US" w:eastAsia="zh-CN"/>
        </w:rPr>
        <w:t>浉河区市场监督管理局</w:t>
      </w:r>
      <w:r>
        <w:rPr>
          <w:rFonts w:hint="eastAsia" w:ascii="楷体" w:hAnsi="楷体" w:eastAsia="楷体" w:cs="Arial"/>
          <w:color w:val="666666"/>
          <w:kern w:val="0"/>
          <w:sz w:val="27"/>
          <w:szCs w:val="27"/>
          <w:shd w:val="clear" w:color="auto" w:fill="FFFFFF"/>
        </w:rPr>
        <w:t>2021年一般公共预算基本支出</w:t>
      </w:r>
      <w:r>
        <w:rPr>
          <w:rFonts w:hint="eastAsia" w:ascii="楷体" w:hAnsi="楷体" w:eastAsia="楷体" w:cs="Arial"/>
          <w:color w:val="666666"/>
          <w:kern w:val="0"/>
          <w:sz w:val="27"/>
          <w:szCs w:val="27"/>
          <w:shd w:val="clear" w:color="auto" w:fill="FFFFFF"/>
          <w:lang w:val="en-US" w:eastAsia="zh-CN"/>
        </w:rPr>
        <w:t>1432.6</w:t>
      </w:r>
      <w:r>
        <w:rPr>
          <w:rFonts w:hint="eastAsia" w:ascii="楷体" w:hAnsi="楷体" w:eastAsia="楷体" w:cs="Arial"/>
          <w:color w:val="666666"/>
          <w:kern w:val="0"/>
          <w:sz w:val="27"/>
          <w:szCs w:val="27"/>
          <w:shd w:val="clear" w:color="auto" w:fill="FFFFFF"/>
        </w:rPr>
        <w:t>万元，其中：人员经费</w:t>
      </w:r>
      <w:r>
        <w:rPr>
          <w:rFonts w:hint="eastAsia" w:ascii="楷体" w:hAnsi="楷体" w:eastAsia="楷体" w:cs="Arial"/>
          <w:color w:val="666666"/>
          <w:kern w:val="0"/>
          <w:sz w:val="27"/>
          <w:szCs w:val="27"/>
          <w:shd w:val="clear" w:color="auto" w:fill="FFFFFF"/>
          <w:lang w:val="en-US" w:eastAsia="zh-CN"/>
        </w:rPr>
        <w:t>1217</w:t>
      </w:r>
      <w:r>
        <w:rPr>
          <w:rFonts w:hint="eastAsia" w:ascii="楷体" w:hAnsi="楷体" w:eastAsia="楷体" w:cs="Arial"/>
          <w:color w:val="666666"/>
          <w:kern w:val="0"/>
          <w:sz w:val="27"/>
          <w:szCs w:val="27"/>
          <w:shd w:val="clear" w:color="auto" w:fill="FFFFFF"/>
        </w:rPr>
        <w:t>万元，主要包括：基本工资、津贴补贴、奖金、社会保障缴费、绩效工资、离休费、退休费、遗属补助、住房公积金等；公用经费</w:t>
      </w:r>
      <w:r>
        <w:rPr>
          <w:rFonts w:hint="eastAsia" w:ascii="楷体" w:hAnsi="楷体" w:eastAsia="楷体" w:cs="Arial"/>
          <w:color w:val="666666"/>
          <w:kern w:val="0"/>
          <w:sz w:val="27"/>
          <w:szCs w:val="27"/>
          <w:shd w:val="clear" w:color="auto" w:fill="FFFFFF"/>
          <w:lang w:val="en-US" w:eastAsia="zh-CN"/>
        </w:rPr>
        <w:t>215.6</w:t>
      </w:r>
      <w:r>
        <w:rPr>
          <w:rFonts w:hint="eastAsia" w:ascii="楷体" w:hAnsi="楷体" w:eastAsia="楷体" w:cs="Arial"/>
          <w:color w:val="666666"/>
          <w:kern w:val="0"/>
          <w:sz w:val="27"/>
          <w:szCs w:val="27"/>
          <w:shd w:val="clear" w:color="auto" w:fill="FFFFFF"/>
        </w:rPr>
        <w:t>万元，主要包括：办公费、印刷费、咨询费、手续费、水费、电费、邮电费、取暖费、物业管理费、差旅费、因公出国（境）费、维修（护）费、租赁费、会议费、培训费、公务接待费、专用材料费、劳务费、工会经费、福利费、公务用车运行维护费、其他交通费用等。</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七、政府性基金预算支出预算情况说明</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我局2021年无使用政府性基金预算拨款安排的支出。</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八、 “三公”经费支出预算情况说明</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我局2021年“三公”经费预算为</w:t>
      </w:r>
      <w:r>
        <w:rPr>
          <w:rFonts w:hint="eastAsia" w:ascii="楷体" w:hAnsi="楷体" w:eastAsia="楷体" w:cs="Arial"/>
          <w:color w:val="666666"/>
          <w:kern w:val="0"/>
          <w:sz w:val="27"/>
          <w:szCs w:val="27"/>
          <w:shd w:val="clear" w:color="auto" w:fill="FFFFFF"/>
          <w:lang w:val="en-US" w:eastAsia="zh-CN"/>
        </w:rPr>
        <w:t>24.5</w:t>
      </w:r>
      <w:r>
        <w:rPr>
          <w:rFonts w:hint="eastAsia" w:ascii="楷体" w:hAnsi="楷体" w:eastAsia="楷体" w:cs="Arial"/>
          <w:color w:val="666666"/>
          <w:kern w:val="0"/>
          <w:sz w:val="27"/>
          <w:szCs w:val="27"/>
          <w:shd w:val="clear" w:color="auto" w:fill="FFFFFF"/>
        </w:rPr>
        <w:t>万元。2021年“三公”经费支出预算数</w:t>
      </w:r>
      <w:r>
        <w:rPr>
          <w:rFonts w:hint="eastAsia" w:ascii="楷体" w:hAnsi="楷体" w:eastAsia="楷体" w:cs="Arial"/>
          <w:color w:val="666666"/>
          <w:kern w:val="0"/>
          <w:sz w:val="27"/>
          <w:szCs w:val="27"/>
          <w:shd w:val="clear" w:color="auto" w:fill="FFFFFF"/>
          <w:lang w:eastAsia="zh-CN"/>
        </w:rPr>
        <w:t>与</w:t>
      </w:r>
      <w:r>
        <w:rPr>
          <w:rFonts w:hint="eastAsia" w:ascii="楷体" w:hAnsi="楷体" w:eastAsia="楷体" w:cs="Arial"/>
          <w:color w:val="666666"/>
          <w:kern w:val="0"/>
          <w:sz w:val="27"/>
          <w:szCs w:val="27"/>
          <w:shd w:val="clear" w:color="auto" w:fill="FFFFFF"/>
        </w:rPr>
        <w:t>20</w:t>
      </w:r>
      <w:r>
        <w:rPr>
          <w:rFonts w:hint="eastAsia" w:ascii="楷体" w:hAnsi="楷体" w:eastAsia="楷体" w:cs="Arial"/>
          <w:color w:val="666666"/>
          <w:kern w:val="0"/>
          <w:sz w:val="27"/>
          <w:szCs w:val="27"/>
          <w:shd w:val="clear" w:color="auto" w:fill="FFFFFF"/>
          <w:lang w:val="en-US" w:eastAsia="zh-CN"/>
        </w:rPr>
        <w:t>20</w:t>
      </w:r>
      <w:r>
        <w:rPr>
          <w:rFonts w:hint="eastAsia" w:ascii="楷体" w:hAnsi="楷体" w:eastAsia="楷体" w:cs="Arial"/>
          <w:color w:val="666666"/>
          <w:kern w:val="0"/>
          <w:sz w:val="27"/>
          <w:szCs w:val="27"/>
          <w:shd w:val="clear" w:color="auto" w:fill="FFFFFF"/>
        </w:rPr>
        <w:t>年</w:t>
      </w:r>
      <w:r>
        <w:rPr>
          <w:rFonts w:hint="eastAsia" w:ascii="楷体" w:hAnsi="楷体" w:eastAsia="楷体" w:cs="Arial"/>
          <w:color w:val="666666"/>
          <w:kern w:val="0"/>
          <w:sz w:val="27"/>
          <w:szCs w:val="27"/>
          <w:shd w:val="clear" w:color="auto" w:fill="FFFFFF"/>
          <w:lang w:eastAsia="zh-CN"/>
        </w:rPr>
        <w:t>持平</w:t>
      </w:r>
      <w:r>
        <w:rPr>
          <w:rFonts w:hint="eastAsia" w:ascii="楷体" w:hAnsi="楷体" w:eastAsia="楷体" w:cs="Arial"/>
          <w:color w:val="666666"/>
          <w:kern w:val="0"/>
          <w:sz w:val="27"/>
          <w:szCs w:val="27"/>
          <w:shd w:val="clear" w:color="auto" w:fill="FFFFFF"/>
        </w:rPr>
        <w:t>。</w:t>
      </w:r>
    </w:p>
    <w:p>
      <w:pPr>
        <w:widowControl/>
        <w:jc w:val="left"/>
        <w:rPr>
          <w:rFonts w:hint="eastAsia" w:ascii="楷体" w:hAnsi="楷体" w:eastAsia="楷体" w:cs="Arial"/>
          <w:color w:val="666666"/>
          <w:kern w:val="0"/>
          <w:sz w:val="27"/>
          <w:szCs w:val="27"/>
          <w:shd w:val="clear" w:color="auto" w:fill="FFFFFF"/>
        </w:rPr>
      </w:pPr>
      <w:r>
        <w:rPr>
          <w:rFonts w:hint="eastAsia" w:ascii="楷体" w:hAnsi="楷体" w:eastAsia="楷体" w:cs="Arial"/>
          <w:color w:val="666666"/>
          <w:kern w:val="0"/>
          <w:sz w:val="27"/>
          <w:szCs w:val="27"/>
          <w:shd w:val="clear" w:color="auto" w:fill="FFFFFF"/>
        </w:rPr>
        <w:t>具体支出情况如下：</w:t>
      </w:r>
    </w:p>
    <w:p>
      <w:pPr>
        <w:widowControl/>
        <w:jc w:val="left"/>
        <w:rPr>
          <w:rFonts w:ascii="微软雅黑" w:hAnsi="微软雅黑" w:eastAsia="微软雅黑" w:cs="微软雅黑"/>
          <w:color w:val="666666"/>
          <w:sz w:val="21"/>
          <w:szCs w:val="21"/>
        </w:rPr>
      </w:pPr>
      <w:r>
        <w:rPr>
          <w:rFonts w:hint="eastAsia" w:ascii="楷体" w:hAnsi="楷体" w:eastAsia="楷体" w:cs="Arial"/>
          <w:color w:val="666666"/>
          <w:kern w:val="0"/>
          <w:sz w:val="27"/>
          <w:szCs w:val="27"/>
          <w:shd w:val="clear" w:color="auto" w:fill="FFFFFF"/>
        </w:rPr>
        <w:t>（一）</w:t>
      </w:r>
      <w:r>
        <w:rPr>
          <w:rFonts w:hint="eastAsia" w:ascii="楷体" w:hAnsi="楷体" w:eastAsia="楷体" w:cs="Arial"/>
          <w:b/>
          <w:bCs/>
          <w:color w:val="666666"/>
          <w:kern w:val="0"/>
          <w:sz w:val="27"/>
          <w:szCs w:val="27"/>
          <w:shd w:val="clear" w:color="auto" w:fill="FFFFFF"/>
        </w:rPr>
        <w:t>因公出国（境）费</w:t>
      </w:r>
      <w:r>
        <w:rPr>
          <w:rFonts w:hint="eastAsia" w:ascii="楷体" w:hAnsi="楷体" w:eastAsia="楷体" w:cs="Arial"/>
          <w:color w:val="666666"/>
          <w:kern w:val="0"/>
          <w:sz w:val="27"/>
          <w:szCs w:val="27"/>
          <w:shd w:val="clear" w:color="auto" w:fill="FFFFFF"/>
        </w:rPr>
        <w:t>0万元，</w:t>
      </w:r>
      <w:r>
        <w:rPr>
          <w:rFonts w:ascii="楷体" w:hAnsi="楷体" w:eastAsia="楷体" w:cs="楷体"/>
          <w:color w:val="666666"/>
          <w:kern w:val="0"/>
          <w:sz w:val="27"/>
          <w:szCs w:val="27"/>
          <w:shd w:val="clear" w:fill="FFFFFF"/>
          <w:lang w:val="en-US" w:eastAsia="zh-CN" w:bidi="ar"/>
        </w:rPr>
        <w:t>2021年度预算没有安排因公出国费（境）费用，预算数与2020年持平。</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b/>
          <w:bCs/>
          <w:color w:val="666666"/>
          <w:kern w:val="0"/>
          <w:sz w:val="27"/>
          <w:szCs w:val="27"/>
          <w:shd w:val="clear" w:color="auto" w:fill="FFFFFF"/>
        </w:rPr>
        <w:t>（二）公务用车购置及运行费</w:t>
      </w:r>
      <w:r>
        <w:rPr>
          <w:rFonts w:hint="eastAsia" w:ascii="楷体" w:hAnsi="楷体" w:eastAsia="楷体" w:cs="Arial"/>
          <w:color w:val="666666"/>
          <w:kern w:val="0"/>
          <w:sz w:val="27"/>
          <w:szCs w:val="27"/>
          <w:shd w:val="clear" w:color="auto" w:fill="FFFFFF"/>
          <w:lang w:val="en-US" w:eastAsia="zh-CN"/>
        </w:rPr>
        <w:t>24.5</w:t>
      </w:r>
      <w:r>
        <w:rPr>
          <w:rFonts w:hint="eastAsia" w:ascii="楷体" w:hAnsi="楷体" w:eastAsia="楷体" w:cs="Arial"/>
          <w:color w:val="666666"/>
          <w:kern w:val="0"/>
          <w:sz w:val="27"/>
          <w:szCs w:val="27"/>
          <w:shd w:val="clear" w:color="auto" w:fill="FFFFFF"/>
        </w:rPr>
        <w:t>万元，其中，公务用车购置费0万元；公务用车运行维护费</w:t>
      </w:r>
      <w:r>
        <w:rPr>
          <w:rFonts w:hint="eastAsia" w:ascii="楷体" w:hAnsi="楷体" w:eastAsia="楷体" w:cs="Arial"/>
          <w:color w:val="666666"/>
          <w:kern w:val="0"/>
          <w:sz w:val="27"/>
          <w:szCs w:val="27"/>
          <w:shd w:val="clear" w:color="auto" w:fill="FFFFFF"/>
          <w:lang w:val="en-US" w:eastAsia="zh-CN"/>
        </w:rPr>
        <w:t>24.5</w:t>
      </w:r>
      <w:r>
        <w:rPr>
          <w:rFonts w:hint="eastAsia" w:ascii="楷体" w:hAnsi="楷体" w:eastAsia="楷体" w:cs="Arial"/>
          <w:color w:val="666666"/>
          <w:kern w:val="0"/>
          <w:sz w:val="27"/>
          <w:szCs w:val="27"/>
          <w:shd w:val="clear" w:color="auto" w:fill="FFFFFF"/>
        </w:rPr>
        <w:t>万元，主要用于开展工作所需</w:t>
      </w:r>
      <w:r>
        <w:rPr>
          <w:rFonts w:hint="eastAsia" w:ascii="楷体" w:hAnsi="楷体" w:eastAsia="楷体" w:cs="Arial"/>
          <w:color w:val="666666"/>
          <w:kern w:val="0"/>
          <w:sz w:val="27"/>
          <w:szCs w:val="27"/>
          <w:shd w:val="clear" w:color="auto" w:fill="FFFFFF"/>
          <w:lang w:eastAsia="zh-CN"/>
        </w:rPr>
        <w:t>执法执勤</w:t>
      </w:r>
      <w:r>
        <w:rPr>
          <w:rFonts w:hint="eastAsia" w:ascii="楷体" w:hAnsi="楷体" w:eastAsia="楷体" w:cs="Arial"/>
          <w:color w:val="666666"/>
          <w:kern w:val="0"/>
          <w:sz w:val="27"/>
          <w:szCs w:val="27"/>
          <w:shd w:val="clear" w:color="auto" w:fill="FFFFFF"/>
        </w:rPr>
        <w:t>用车的燃料费、维修费、过路过桥费、保险费、年检</w:t>
      </w:r>
      <w:r>
        <w:rPr>
          <w:rFonts w:hint="eastAsia" w:ascii="楷体" w:hAnsi="楷体" w:eastAsia="楷体" w:cs="Arial"/>
          <w:color w:val="666666"/>
          <w:kern w:val="0"/>
          <w:sz w:val="27"/>
          <w:szCs w:val="27"/>
          <w:shd w:val="clear" w:color="auto" w:fill="FFFFFF"/>
          <w:lang w:eastAsia="zh-CN"/>
        </w:rPr>
        <w:t>费</w:t>
      </w:r>
      <w:r>
        <w:rPr>
          <w:rFonts w:hint="eastAsia" w:ascii="楷体" w:hAnsi="楷体" w:eastAsia="楷体" w:cs="Arial"/>
          <w:color w:val="666666"/>
          <w:kern w:val="0"/>
          <w:sz w:val="27"/>
          <w:szCs w:val="27"/>
          <w:shd w:val="clear" w:color="auto" w:fill="FFFFFF"/>
        </w:rPr>
        <w:t>等支出。公务用车购置费预算数比 2020年持平，主要原因：没有公务用车购置计划。公务用车运行维护费预算数</w:t>
      </w:r>
      <w:r>
        <w:rPr>
          <w:rFonts w:hint="eastAsia" w:ascii="楷体" w:hAnsi="楷体" w:eastAsia="楷体" w:cs="Arial"/>
          <w:color w:val="666666"/>
          <w:kern w:val="0"/>
          <w:sz w:val="27"/>
          <w:szCs w:val="27"/>
          <w:shd w:val="clear" w:color="auto" w:fill="FFFFFF"/>
          <w:lang w:eastAsia="zh-CN"/>
        </w:rPr>
        <w:t>与</w:t>
      </w:r>
      <w:r>
        <w:rPr>
          <w:rFonts w:hint="eastAsia" w:ascii="楷体" w:hAnsi="楷体" w:eastAsia="楷体" w:cs="Arial"/>
          <w:color w:val="666666"/>
          <w:kern w:val="0"/>
          <w:sz w:val="27"/>
          <w:szCs w:val="27"/>
          <w:shd w:val="clear" w:color="auto" w:fill="FFFFFF"/>
        </w:rPr>
        <w:t xml:space="preserve"> 2020年</w:t>
      </w:r>
      <w:r>
        <w:rPr>
          <w:rFonts w:hint="eastAsia" w:ascii="楷体" w:hAnsi="楷体" w:eastAsia="楷体" w:cs="Arial"/>
          <w:color w:val="666666"/>
          <w:kern w:val="0"/>
          <w:sz w:val="27"/>
          <w:szCs w:val="27"/>
          <w:shd w:val="clear" w:color="auto" w:fill="FFFFFF"/>
          <w:lang w:eastAsia="zh-CN"/>
        </w:rPr>
        <w:t>持平。</w:t>
      </w:r>
      <w:r>
        <w:rPr>
          <w:rFonts w:hint="eastAsia" w:ascii="楷体" w:hAnsi="楷体" w:eastAsia="楷体" w:cs="Arial"/>
          <w:color w:val="666666"/>
          <w:kern w:val="0"/>
          <w:sz w:val="27"/>
          <w:szCs w:val="27"/>
          <w:shd w:val="clear" w:color="auto" w:fill="FFFFFF"/>
        </w:rPr>
        <w:t>主要原因：2021年我局</w:t>
      </w:r>
      <w:r>
        <w:rPr>
          <w:rFonts w:hint="eastAsia" w:ascii="楷体" w:hAnsi="楷体" w:eastAsia="楷体" w:cs="Arial"/>
          <w:color w:val="666666"/>
          <w:kern w:val="0"/>
          <w:sz w:val="27"/>
          <w:szCs w:val="27"/>
          <w:shd w:val="clear" w:color="auto" w:fill="FFFFFF"/>
          <w:lang w:eastAsia="zh-CN"/>
        </w:rPr>
        <w:t>执法执勤车辆年久失修老化严重</w:t>
      </w:r>
      <w:r>
        <w:rPr>
          <w:rFonts w:hint="eastAsia" w:ascii="楷体" w:hAnsi="楷体" w:eastAsia="楷体" w:cs="Arial"/>
          <w:color w:val="666666"/>
          <w:kern w:val="0"/>
          <w:sz w:val="27"/>
          <w:szCs w:val="27"/>
          <w:shd w:val="clear" w:color="auto"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20" w:lineRule="atLeast"/>
        <w:ind w:left="0" w:right="0"/>
        <w:jc w:val="both"/>
        <w:rPr>
          <w:rFonts w:ascii="微软雅黑" w:hAnsi="微软雅黑" w:eastAsia="微软雅黑" w:cs="微软雅黑"/>
          <w:color w:val="666666"/>
          <w:sz w:val="21"/>
          <w:szCs w:val="21"/>
        </w:rPr>
      </w:pPr>
      <w:r>
        <w:rPr>
          <w:rFonts w:hint="eastAsia" w:ascii="楷体" w:hAnsi="楷体" w:eastAsia="楷体" w:cs="Arial"/>
          <w:b/>
          <w:bCs/>
          <w:color w:val="666666"/>
          <w:kern w:val="0"/>
          <w:sz w:val="27"/>
          <w:szCs w:val="27"/>
          <w:shd w:val="clear" w:color="auto" w:fill="FFFFFF"/>
        </w:rPr>
        <w:t>（三）公务接待费</w:t>
      </w:r>
      <w:r>
        <w:rPr>
          <w:rFonts w:hint="eastAsia" w:ascii="楷体" w:hAnsi="楷体" w:eastAsia="楷体" w:cs="Arial"/>
          <w:color w:val="666666"/>
          <w:kern w:val="0"/>
          <w:sz w:val="27"/>
          <w:szCs w:val="27"/>
          <w:shd w:val="clear" w:color="auto" w:fill="FFFFFF"/>
          <w:lang w:val="en-US" w:eastAsia="zh-CN"/>
        </w:rPr>
        <w:t>0</w:t>
      </w:r>
      <w:r>
        <w:rPr>
          <w:rFonts w:hint="eastAsia" w:ascii="楷体" w:hAnsi="楷体" w:eastAsia="楷体" w:cs="Arial"/>
          <w:color w:val="666666"/>
          <w:kern w:val="0"/>
          <w:sz w:val="27"/>
          <w:szCs w:val="27"/>
          <w:shd w:val="clear" w:color="auto" w:fill="FFFFFF"/>
        </w:rPr>
        <w:t>万元，主要用于按规定开支的各类公务接待（含外宾接待）支出。</w:t>
      </w:r>
      <w:r>
        <w:rPr>
          <w:rFonts w:ascii="楷体" w:hAnsi="楷体" w:eastAsia="楷体" w:cs="楷体"/>
          <w:color w:val="666666"/>
          <w:kern w:val="0"/>
          <w:sz w:val="27"/>
          <w:szCs w:val="27"/>
          <w:shd w:val="clear" w:fill="FFFFFF"/>
          <w:lang w:val="en-US" w:eastAsia="zh-CN" w:bidi="ar"/>
        </w:rPr>
        <w:t>2021年度预算没有安排</w:t>
      </w:r>
      <w:r>
        <w:rPr>
          <w:rFonts w:hint="eastAsia" w:ascii="楷体" w:hAnsi="楷体" w:eastAsia="楷体" w:cs="楷体"/>
          <w:color w:val="666666"/>
          <w:kern w:val="0"/>
          <w:sz w:val="27"/>
          <w:szCs w:val="27"/>
          <w:shd w:val="clear" w:fill="FFFFFF"/>
          <w:lang w:val="en-US" w:eastAsia="zh-CN" w:bidi="ar"/>
        </w:rPr>
        <w:t>公务接待</w:t>
      </w:r>
      <w:r>
        <w:rPr>
          <w:rFonts w:ascii="楷体" w:hAnsi="楷体" w:eastAsia="楷体" w:cs="楷体"/>
          <w:color w:val="666666"/>
          <w:kern w:val="0"/>
          <w:sz w:val="27"/>
          <w:szCs w:val="27"/>
          <w:shd w:val="clear" w:fill="FFFFFF"/>
          <w:lang w:val="en-US" w:eastAsia="zh-CN" w:bidi="ar"/>
        </w:rPr>
        <w:t>费用，预算数与2020年持平。</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九、其他重要事项情况说明</w:t>
      </w:r>
    </w:p>
    <w:p>
      <w:pPr>
        <w:widowControl/>
        <w:jc w:val="left"/>
        <w:rPr>
          <w:rFonts w:hint="eastAsia" w:ascii="楷体" w:hAnsi="楷体" w:eastAsia="楷体" w:cs="Arial"/>
          <w:b/>
          <w:bCs/>
          <w:color w:val="666666"/>
          <w:kern w:val="0"/>
          <w:sz w:val="27"/>
          <w:szCs w:val="27"/>
          <w:shd w:val="clear" w:color="auto" w:fill="FFFFFF"/>
          <w:lang w:eastAsia="zh-CN"/>
        </w:rPr>
      </w:pPr>
      <w:r>
        <w:rPr>
          <w:rFonts w:hint="eastAsia" w:ascii="楷体" w:hAnsi="楷体" w:eastAsia="楷体" w:cs="Arial"/>
          <w:b/>
          <w:bCs/>
          <w:color w:val="666666"/>
          <w:kern w:val="0"/>
          <w:sz w:val="27"/>
          <w:szCs w:val="27"/>
          <w:shd w:val="clear" w:color="auto" w:fill="FFFFFF"/>
        </w:rPr>
        <w:t>（一）机关运行经费支出情况</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lang w:val="en-US" w:eastAsia="zh-CN"/>
        </w:rPr>
        <w:t>浉河区市场监督管理局</w:t>
      </w:r>
      <w:r>
        <w:rPr>
          <w:rFonts w:hint="eastAsia" w:ascii="楷体" w:hAnsi="楷体" w:eastAsia="楷体" w:cs="Arial"/>
          <w:color w:val="666666"/>
          <w:kern w:val="0"/>
          <w:sz w:val="27"/>
          <w:szCs w:val="27"/>
          <w:shd w:val="clear" w:color="auto" w:fill="FFFFFF"/>
        </w:rPr>
        <w:t>2021年机关运行经费支出预算</w:t>
      </w:r>
      <w:r>
        <w:rPr>
          <w:rFonts w:hint="eastAsia" w:ascii="楷体" w:hAnsi="楷体" w:eastAsia="楷体" w:cs="Arial"/>
          <w:color w:val="666666"/>
          <w:kern w:val="0"/>
          <w:sz w:val="27"/>
          <w:szCs w:val="27"/>
          <w:shd w:val="clear" w:color="auto" w:fill="FFFFFF"/>
          <w:lang w:val="en-US" w:eastAsia="zh-CN"/>
        </w:rPr>
        <w:t>215.6</w:t>
      </w:r>
      <w:r>
        <w:rPr>
          <w:rFonts w:hint="eastAsia" w:ascii="楷体" w:hAnsi="楷体" w:eastAsia="楷体" w:cs="Arial"/>
          <w:color w:val="666666"/>
          <w:kern w:val="0"/>
          <w:sz w:val="27"/>
          <w:szCs w:val="27"/>
          <w:shd w:val="clear" w:color="auto" w:fill="FFFFFF"/>
        </w:rPr>
        <w:t>万元，主要保障机构正常运转及正常履职需要。</w:t>
      </w:r>
    </w:p>
    <w:p>
      <w:pPr>
        <w:widowControl/>
        <w:jc w:val="left"/>
        <w:rPr>
          <w:rFonts w:hint="eastAsia" w:ascii="楷体" w:hAnsi="楷体" w:eastAsia="楷体" w:cs="Arial"/>
          <w:b/>
          <w:bCs/>
          <w:color w:val="666666"/>
          <w:kern w:val="0"/>
          <w:sz w:val="27"/>
          <w:szCs w:val="27"/>
          <w:shd w:val="clear" w:color="auto" w:fill="FFFFFF"/>
          <w:lang w:eastAsia="zh-CN"/>
        </w:rPr>
      </w:pPr>
      <w:r>
        <w:rPr>
          <w:rFonts w:hint="eastAsia" w:ascii="楷体" w:hAnsi="楷体" w:eastAsia="楷体" w:cs="Arial"/>
          <w:b/>
          <w:bCs/>
          <w:color w:val="666666"/>
          <w:kern w:val="0"/>
          <w:sz w:val="27"/>
          <w:szCs w:val="27"/>
          <w:shd w:val="clear" w:color="auto" w:fill="FFFFFF"/>
        </w:rPr>
        <w:t>（二）政府采购支出情况</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lang w:val="en-US" w:eastAsia="zh-CN"/>
        </w:rPr>
        <w:t>浉河区市场监督管理局</w:t>
      </w:r>
      <w:r>
        <w:rPr>
          <w:rFonts w:hint="eastAsia" w:ascii="楷体" w:hAnsi="楷体" w:eastAsia="楷体" w:cs="Arial"/>
          <w:color w:val="666666"/>
          <w:kern w:val="0"/>
          <w:sz w:val="27"/>
          <w:szCs w:val="27"/>
          <w:shd w:val="clear" w:color="auto" w:fill="FFFFFF"/>
        </w:rPr>
        <w:t>2021年没有政府采购预算支出。</w:t>
      </w:r>
    </w:p>
    <w:p>
      <w:pPr>
        <w:widowControl/>
        <w:jc w:val="left"/>
        <w:rPr>
          <w:rFonts w:hint="eastAsia" w:ascii="楷体" w:hAnsi="楷体" w:eastAsia="楷体" w:cs="Arial"/>
          <w:b/>
          <w:bCs/>
          <w:color w:val="666666"/>
          <w:kern w:val="0"/>
          <w:sz w:val="27"/>
          <w:szCs w:val="27"/>
          <w:shd w:val="clear" w:color="auto" w:fill="FFFFFF"/>
          <w:lang w:eastAsia="zh-CN"/>
        </w:rPr>
      </w:pPr>
      <w:r>
        <w:rPr>
          <w:rFonts w:hint="eastAsia" w:ascii="楷体" w:hAnsi="楷体" w:eastAsia="楷体" w:cs="Arial"/>
          <w:b/>
          <w:bCs/>
          <w:color w:val="666666"/>
          <w:kern w:val="0"/>
          <w:sz w:val="27"/>
          <w:szCs w:val="27"/>
          <w:shd w:val="clear" w:color="auto" w:fill="FFFFFF"/>
        </w:rPr>
        <w:t>（三）绩效目标设置情况</w:t>
      </w:r>
    </w:p>
    <w:p>
      <w:pPr>
        <w:widowControl/>
        <w:jc w:val="left"/>
        <w:rPr>
          <w:rFonts w:hint="eastAsia" w:ascii="楷体" w:hAnsi="楷体" w:eastAsia="楷体" w:cs="Arial"/>
          <w:color w:val="666666"/>
          <w:kern w:val="0"/>
          <w:sz w:val="27"/>
          <w:szCs w:val="27"/>
          <w:shd w:val="clear" w:color="auto" w:fill="FFFFFF"/>
        </w:rPr>
      </w:pPr>
      <w:r>
        <w:rPr>
          <w:rFonts w:hint="eastAsia" w:ascii="楷体" w:hAnsi="楷体" w:eastAsia="楷体" w:cs="Arial"/>
          <w:color w:val="666666"/>
          <w:kern w:val="0"/>
          <w:sz w:val="27"/>
          <w:szCs w:val="27"/>
          <w:shd w:val="clear" w:color="auto" w:fill="FFFFFF"/>
          <w:lang w:val="en-US" w:eastAsia="zh-CN"/>
        </w:rPr>
        <w:t>我局2021年预算项目均按要求编制了绩效目标，从项目产出、项目效益、满意度等方面设置了绩效指标，综合反映项目预期完成的数量、实效、质量，预期达到的社会经济效益、可持续影响以及服务对象满意度等情况。</w:t>
      </w:r>
    </w:p>
    <w:p>
      <w:pPr>
        <w:widowControl/>
        <w:jc w:val="left"/>
        <w:rPr>
          <w:rFonts w:hint="eastAsia" w:ascii="楷体" w:hAnsi="楷体" w:eastAsia="楷体" w:cs="Arial"/>
          <w:b/>
          <w:bCs/>
          <w:color w:val="666666"/>
          <w:kern w:val="0"/>
          <w:sz w:val="27"/>
          <w:szCs w:val="27"/>
          <w:shd w:val="clear" w:color="auto" w:fill="FFFFFF"/>
          <w:lang w:eastAsia="zh-CN"/>
        </w:rPr>
      </w:pPr>
      <w:r>
        <w:rPr>
          <w:rFonts w:hint="eastAsia" w:ascii="楷体" w:hAnsi="楷体" w:eastAsia="楷体" w:cs="Arial"/>
          <w:b/>
          <w:bCs/>
          <w:color w:val="666666"/>
          <w:kern w:val="0"/>
          <w:sz w:val="27"/>
          <w:szCs w:val="27"/>
          <w:shd w:val="clear" w:color="auto" w:fill="FFFFFF"/>
        </w:rPr>
        <w:t>（四）国有资产占用情况。</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2020年期末，我局共有车辆</w:t>
      </w:r>
      <w:r>
        <w:rPr>
          <w:rFonts w:hint="eastAsia" w:ascii="楷体" w:hAnsi="楷体" w:eastAsia="楷体" w:cs="Arial"/>
          <w:color w:val="666666"/>
          <w:kern w:val="0"/>
          <w:sz w:val="27"/>
          <w:szCs w:val="27"/>
          <w:shd w:val="clear" w:color="auto" w:fill="FFFFFF"/>
          <w:lang w:val="en-US" w:eastAsia="zh-CN"/>
        </w:rPr>
        <w:t>9</w:t>
      </w:r>
      <w:r>
        <w:rPr>
          <w:rFonts w:hint="eastAsia" w:ascii="楷体" w:hAnsi="楷体" w:eastAsia="楷体" w:cs="Arial"/>
          <w:color w:val="666666"/>
          <w:kern w:val="0"/>
          <w:sz w:val="27"/>
          <w:szCs w:val="27"/>
          <w:shd w:val="clear" w:color="auto" w:fill="FFFFFF"/>
        </w:rPr>
        <w:t>辆，其中：一般公务用车</w:t>
      </w:r>
      <w:r>
        <w:rPr>
          <w:rFonts w:hint="eastAsia" w:ascii="楷体" w:hAnsi="楷体" w:eastAsia="楷体" w:cs="Arial"/>
          <w:color w:val="666666"/>
          <w:kern w:val="0"/>
          <w:sz w:val="27"/>
          <w:szCs w:val="27"/>
          <w:shd w:val="clear" w:color="auto" w:fill="FFFFFF"/>
          <w:lang w:val="en-US" w:eastAsia="zh-CN"/>
        </w:rPr>
        <w:t>0</w:t>
      </w:r>
      <w:r>
        <w:rPr>
          <w:rFonts w:hint="eastAsia" w:ascii="楷体" w:hAnsi="楷体" w:eastAsia="楷体" w:cs="Arial"/>
          <w:color w:val="666666"/>
          <w:kern w:val="0"/>
          <w:sz w:val="27"/>
          <w:szCs w:val="27"/>
          <w:shd w:val="clear" w:color="auto" w:fill="FFFFFF"/>
        </w:rPr>
        <w:t>辆、一般执法执勤用车</w:t>
      </w:r>
      <w:r>
        <w:rPr>
          <w:rFonts w:hint="eastAsia" w:ascii="楷体" w:hAnsi="楷体" w:eastAsia="楷体" w:cs="Arial"/>
          <w:color w:val="666666"/>
          <w:kern w:val="0"/>
          <w:sz w:val="27"/>
          <w:szCs w:val="27"/>
          <w:shd w:val="clear" w:color="auto" w:fill="FFFFFF"/>
          <w:lang w:val="en-US" w:eastAsia="zh-CN"/>
        </w:rPr>
        <w:t>9</w:t>
      </w:r>
      <w:r>
        <w:rPr>
          <w:rFonts w:hint="eastAsia" w:ascii="楷体" w:hAnsi="楷体" w:eastAsia="楷体" w:cs="Arial"/>
          <w:color w:val="666666"/>
          <w:kern w:val="0"/>
          <w:sz w:val="27"/>
          <w:szCs w:val="27"/>
          <w:shd w:val="clear" w:color="auto" w:fill="FFFFFF"/>
        </w:rPr>
        <w:t>辆、特种专业技术用车0辆，其他用车0辆。单价50万元以上通用设备0套，单位价值100万元以上专用设备0套。</w:t>
      </w:r>
    </w:p>
    <w:p>
      <w:pPr>
        <w:widowControl/>
        <w:jc w:val="left"/>
        <w:rPr>
          <w:rFonts w:hint="eastAsia" w:ascii="楷体" w:hAnsi="楷体" w:eastAsia="楷体" w:cs="Arial"/>
          <w:color w:val="666666"/>
          <w:kern w:val="0"/>
          <w:sz w:val="27"/>
          <w:szCs w:val="27"/>
          <w:shd w:val="clear" w:color="auto" w:fill="FFFFFF"/>
          <w:lang w:eastAsia="zh-CN"/>
        </w:rPr>
      </w:pPr>
    </w:p>
    <w:p>
      <w:pPr>
        <w:widowControl/>
        <w:jc w:val="left"/>
        <w:rPr>
          <w:rFonts w:hint="eastAsia" w:ascii="Arial" w:hAnsi="Arial" w:eastAsia="宋体" w:cs="Arial"/>
          <w:color w:val="666666"/>
          <w:kern w:val="0"/>
          <w:szCs w:val="21"/>
          <w:lang w:eastAsia="zh-CN"/>
        </w:rPr>
      </w:pPr>
    </w:p>
    <w:p>
      <w:pPr>
        <w:widowControl/>
        <w:jc w:val="left"/>
        <w:rPr>
          <w:rFonts w:hint="eastAsia" w:ascii="Arial" w:hAnsi="Arial" w:eastAsia="宋体" w:cs="Arial"/>
          <w:color w:val="666666"/>
          <w:kern w:val="0"/>
          <w:szCs w:val="21"/>
          <w:lang w:eastAsia="zh-CN"/>
        </w:rPr>
      </w:pPr>
    </w:p>
    <w:p>
      <w:pPr>
        <w:widowControl/>
        <w:jc w:val="left"/>
        <w:rPr>
          <w:rFonts w:hint="eastAsia" w:ascii="Arial" w:hAnsi="Arial" w:eastAsia="宋体" w:cs="Arial"/>
          <w:color w:val="666666"/>
          <w:kern w:val="0"/>
          <w:szCs w:val="21"/>
          <w:lang w:eastAsia="zh-CN"/>
        </w:rPr>
      </w:pPr>
    </w:p>
    <w:p>
      <w:pPr>
        <w:widowControl/>
        <w:jc w:val="left"/>
        <w:rPr>
          <w:rFonts w:hint="eastAsia" w:ascii="Arial" w:hAnsi="Arial" w:eastAsia="宋体" w:cs="Arial"/>
          <w:color w:val="666666"/>
          <w:kern w:val="0"/>
          <w:szCs w:val="21"/>
          <w:lang w:eastAsia="zh-CN"/>
        </w:rPr>
      </w:pPr>
    </w:p>
    <w:p>
      <w:pPr>
        <w:widowControl/>
        <w:jc w:val="left"/>
        <w:rPr>
          <w:rFonts w:hint="eastAsia" w:ascii="Arial" w:hAnsi="Arial" w:eastAsia="宋体" w:cs="Arial"/>
          <w:color w:val="666666"/>
          <w:kern w:val="0"/>
          <w:szCs w:val="21"/>
          <w:lang w:eastAsia="zh-CN"/>
        </w:rPr>
      </w:pPr>
    </w:p>
    <w:p>
      <w:pPr>
        <w:widowControl/>
        <w:jc w:val="left"/>
        <w:rPr>
          <w:rFonts w:hint="eastAsia" w:ascii="Arial" w:hAnsi="Arial" w:eastAsia="宋体" w:cs="Arial"/>
          <w:color w:val="666666"/>
          <w:kern w:val="0"/>
          <w:szCs w:val="21"/>
          <w:lang w:eastAsia="zh-CN"/>
        </w:rPr>
      </w:pPr>
    </w:p>
    <w:p>
      <w:pPr>
        <w:widowControl/>
        <w:jc w:val="left"/>
        <w:rPr>
          <w:rFonts w:hint="eastAsia" w:ascii="Arial" w:hAnsi="Arial" w:eastAsia="宋体" w:cs="Arial"/>
          <w:color w:val="666666"/>
          <w:kern w:val="0"/>
          <w:szCs w:val="21"/>
          <w:lang w:eastAsia="zh-CN"/>
        </w:rPr>
      </w:pPr>
    </w:p>
    <w:p>
      <w:pPr>
        <w:widowControl/>
        <w:jc w:val="left"/>
        <w:rPr>
          <w:rFonts w:hint="eastAsia" w:ascii="Arial" w:hAnsi="Arial" w:eastAsia="宋体" w:cs="Arial"/>
          <w:color w:val="666666"/>
          <w:kern w:val="0"/>
          <w:szCs w:val="21"/>
          <w:lang w:eastAsia="zh-CN"/>
        </w:rPr>
      </w:pPr>
    </w:p>
    <w:p>
      <w:pPr>
        <w:widowControl/>
        <w:jc w:val="left"/>
        <w:rPr>
          <w:rFonts w:hint="eastAsia" w:ascii="Arial" w:hAnsi="Arial" w:eastAsia="宋体" w:cs="Arial"/>
          <w:color w:val="666666"/>
          <w:kern w:val="0"/>
          <w:szCs w:val="21"/>
          <w:lang w:eastAsia="zh-CN"/>
        </w:rPr>
      </w:pPr>
    </w:p>
    <w:p>
      <w:pPr>
        <w:widowControl/>
        <w:jc w:val="left"/>
        <w:rPr>
          <w:rFonts w:hint="eastAsia" w:ascii="Arial" w:hAnsi="Arial" w:eastAsia="宋体" w:cs="Arial"/>
          <w:color w:val="666666"/>
          <w:kern w:val="0"/>
          <w:szCs w:val="21"/>
          <w:lang w:eastAsia="zh-CN"/>
        </w:rPr>
      </w:pPr>
    </w:p>
    <w:p>
      <w:pPr>
        <w:widowControl/>
        <w:shd w:val="clear" w:color="auto" w:fill="FFFFFF"/>
        <w:jc w:val="center"/>
        <w:rPr>
          <w:rFonts w:hint="eastAsia" w:ascii="楷体" w:hAnsi="楷体" w:eastAsia="楷体" w:cs="Arial"/>
          <w:b/>
          <w:bCs/>
          <w:color w:val="666666"/>
          <w:kern w:val="0"/>
          <w:sz w:val="27"/>
          <w:szCs w:val="27"/>
          <w:lang w:eastAsia="zh-CN"/>
        </w:rPr>
      </w:pPr>
      <w:r>
        <w:rPr>
          <w:rFonts w:hint="eastAsia" w:ascii="楷体" w:hAnsi="楷体" w:eastAsia="楷体" w:cs="Arial"/>
          <w:b/>
          <w:bCs/>
          <w:color w:val="666666"/>
          <w:kern w:val="0"/>
          <w:sz w:val="27"/>
          <w:szCs w:val="27"/>
        </w:rPr>
        <w:t>第三部分</w:t>
      </w:r>
    </w:p>
    <w:p>
      <w:pPr>
        <w:widowControl/>
        <w:shd w:val="clear" w:color="auto" w:fill="FFFFFF"/>
        <w:jc w:val="center"/>
        <w:rPr>
          <w:rFonts w:hint="eastAsia" w:ascii="楷体" w:hAnsi="楷体" w:eastAsia="楷体" w:cs="Arial"/>
          <w:b/>
          <w:bCs/>
          <w:color w:val="666666"/>
          <w:kern w:val="0"/>
          <w:sz w:val="27"/>
          <w:szCs w:val="27"/>
          <w:lang w:eastAsia="zh-CN"/>
        </w:rPr>
      </w:pPr>
      <w:r>
        <w:rPr>
          <w:rFonts w:hint="eastAsia" w:ascii="楷体" w:hAnsi="楷体" w:eastAsia="楷体" w:cs="Arial"/>
          <w:b/>
          <w:bCs/>
          <w:color w:val="666666"/>
          <w:kern w:val="0"/>
          <w:sz w:val="27"/>
          <w:szCs w:val="27"/>
        </w:rPr>
        <w:t>名词解释</w:t>
      </w:r>
    </w:p>
    <w:p>
      <w:pPr>
        <w:widowControl/>
        <w:shd w:val="clear" w:color="auto" w:fill="FFFFFF"/>
        <w:jc w:val="center"/>
        <w:rPr>
          <w:rFonts w:ascii="Arial" w:hAnsi="Arial" w:eastAsia="宋体" w:cs="Arial"/>
          <w:color w:val="666666"/>
          <w:kern w:val="0"/>
          <w:szCs w:val="21"/>
        </w:rPr>
      </w:pPr>
      <w:r>
        <w:rPr>
          <w:rFonts w:ascii="Arial" w:hAnsi="Arial" w:eastAsia="宋体" w:cs="Arial"/>
          <w:color w:val="666666"/>
          <w:kern w:val="0"/>
          <w:szCs w:val="21"/>
        </w:rPr>
        <w:t> </w:t>
      </w:r>
    </w:p>
    <w:p>
      <w:pPr>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一、财政拨款收入：是指省级财政当年拨付的资金。</w:t>
      </w:r>
    </w:p>
    <w:p>
      <w:pPr>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二、事业收入：是指事业单位开展专业活动及辅助活动所取 得的收入。</w:t>
      </w:r>
    </w:p>
    <w:p>
      <w:pPr>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三、其他收入：是指部门取得的除“财政拨款”、“事业收入”、“事业单位经营收入”等以外的收入。</w:t>
      </w:r>
    </w:p>
    <w:p>
      <w:pPr>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五、基本支出：是指为保障机构正常运转、完成日常工作任务所必需的开支，其内容包括人员经费和日常公用经费两部分。</w:t>
      </w:r>
    </w:p>
    <w:p>
      <w:pPr>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六、项目支出：是指在基本支出之外，为完成特定的行政工作任务或事业发展目标所发生的支出。</w:t>
      </w:r>
    </w:p>
    <w:p>
      <w:pPr>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九、医疗保障政策管理：反映医疗保障待遇管理、医药服务管理、医药价格和招标采购管理、医疗保障基金监管等支出。</w:t>
      </w:r>
    </w:p>
    <w:p>
      <w:pPr>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十、医疗保障经办事务：医保基金核算、精算、参保登记、权益记录、转移接续等医疗保障经办支出。</w:t>
      </w:r>
    </w:p>
    <w:p>
      <w:pPr>
        <w:rPr>
          <w:rFonts w:hint="eastAsia" w:ascii="Calibri" w:hAnsi="Calibri" w:eastAsia="楷体" w:cs="Calibri"/>
          <w:color w:val="666666"/>
          <w:kern w:val="0"/>
          <w:sz w:val="27"/>
          <w:szCs w:val="27"/>
          <w:shd w:val="clear" w:color="auto" w:fill="FFFFFF"/>
          <w:lang w:eastAsia="zh-CN"/>
        </w:rPr>
      </w:pPr>
      <w:r>
        <w:rPr>
          <w:rFonts w:ascii="Calibri" w:hAnsi="Calibri" w:eastAsia="楷体" w:cs="Calibri"/>
          <w:color w:val="666666"/>
          <w:kern w:val="0"/>
          <w:sz w:val="27"/>
          <w:szCs w:val="27"/>
          <w:shd w:val="clear" w:color="auto" w:fill="FFFFFF"/>
        </w:rPr>
        <w:t> </w:t>
      </w:r>
    </w:p>
    <w:p>
      <w:pPr>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附件：</w:t>
      </w:r>
    </w:p>
    <w:p>
      <w:pPr>
        <w:rPr>
          <w:rFonts w:hint="eastAsia" w:ascii="楷体" w:hAnsi="楷体" w:eastAsia="楷体" w:cs="Arial"/>
          <w:color w:val="666666"/>
          <w:kern w:val="0"/>
          <w:sz w:val="27"/>
          <w:szCs w:val="27"/>
          <w:shd w:val="clear" w:color="auto" w:fill="FFFFFF"/>
        </w:rPr>
      </w:pPr>
      <w:r>
        <w:rPr>
          <w:rFonts w:hint="eastAsia" w:ascii="楷体" w:hAnsi="楷体" w:eastAsia="楷体" w:cs="Arial"/>
          <w:color w:val="666666"/>
          <w:kern w:val="0"/>
          <w:sz w:val="27"/>
          <w:szCs w:val="27"/>
          <w:shd w:val="clear" w:color="auto" w:fill="FFFFFF"/>
        </w:rPr>
        <w:t>信阳市</w:t>
      </w:r>
      <w:r>
        <w:rPr>
          <w:rFonts w:hint="eastAsia" w:ascii="楷体" w:hAnsi="楷体" w:eastAsia="楷体" w:cs="Arial"/>
          <w:color w:val="666666"/>
          <w:kern w:val="0"/>
          <w:sz w:val="27"/>
          <w:szCs w:val="27"/>
          <w:shd w:val="clear" w:color="auto" w:fill="FFFFFF"/>
          <w:lang w:val="en-US" w:eastAsia="zh-CN"/>
        </w:rPr>
        <w:t>浉河区市场监督管理局</w:t>
      </w:r>
      <w:r>
        <w:rPr>
          <w:rFonts w:hint="eastAsia" w:ascii="楷体" w:hAnsi="楷体" w:eastAsia="楷体" w:cs="Arial"/>
          <w:color w:val="666666"/>
          <w:kern w:val="0"/>
          <w:sz w:val="27"/>
          <w:szCs w:val="27"/>
          <w:shd w:val="clear" w:color="auto" w:fill="FFFFFF"/>
        </w:rPr>
        <w:t>2021年度部门预算表</w:t>
      </w:r>
    </w:p>
    <w:p>
      <w:pPr>
        <w:rPr>
          <w:rFonts w:hint="eastAsia" w:ascii="楷体" w:hAnsi="楷体" w:eastAsia="楷体" w:cs="Arial"/>
          <w:color w:val="666666"/>
          <w:kern w:val="0"/>
          <w:sz w:val="27"/>
          <w:szCs w:val="27"/>
          <w:shd w:val="clear" w:color="auto" w:fill="FFFFFF"/>
        </w:rPr>
      </w:pPr>
    </w:p>
    <w:p>
      <w:pPr>
        <w:rPr>
          <w:rFonts w:hint="eastAsia" w:ascii="楷体" w:hAnsi="楷体" w:eastAsia="楷体" w:cs="Arial"/>
          <w:color w:val="666666"/>
          <w:kern w:val="0"/>
          <w:sz w:val="27"/>
          <w:szCs w:val="27"/>
          <w:shd w:val="clear" w:color="auto" w:fill="FFFFFF"/>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E8"/>
    <w:rsid w:val="0055757F"/>
    <w:rsid w:val="00984DE8"/>
    <w:rsid w:val="10A252AF"/>
    <w:rsid w:val="157A0187"/>
    <w:rsid w:val="18282C61"/>
    <w:rsid w:val="2BD236D5"/>
    <w:rsid w:val="2D7848D6"/>
    <w:rsid w:val="30340EDD"/>
    <w:rsid w:val="5CE13107"/>
    <w:rsid w:val="6B9B175B"/>
    <w:rsid w:val="790D0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
    <w:name w:val="Normal (Web)"/>
    <w:basedOn w:val="1"/>
    <w:qFormat/>
    <w:uiPriority w:val="99"/>
    <w:pPr>
      <w:spacing w:before="100" w:beforeAutospacing="1" w:after="100" w:afterAutospacing="1"/>
      <w:jc w:val="left"/>
    </w:pPr>
    <w:rPr>
      <w:kern w:val="0"/>
      <w:sz w:val="24"/>
    </w:rPr>
  </w:style>
  <w:style w:type="character" w:styleId="6">
    <w:name w:val="Strong"/>
    <w:basedOn w:val="5"/>
    <w:qFormat/>
    <w:uiPriority w:val="22"/>
    <w:rPr>
      <w:b/>
      <w:bCs/>
    </w:rPr>
  </w:style>
  <w:style w:type="character" w:styleId="7">
    <w:name w:val="FollowedHyperlink"/>
    <w:basedOn w:val="5"/>
    <w:semiHidden/>
    <w:unhideWhenUsed/>
    <w:uiPriority w:val="99"/>
    <w:rPr>
      <w:color w:val="6E6E6E"/>
      <w:u w:val="none"/>
    </w:rPr>
  </w:style>
  <w:style w:type="character" w:styleId="8">
    <w:name w:val="Emphasis"/>
    <w:basedOn w:val="5"/>
    <w:qFormat/>
    <w:uiPriority w:val="20"/>
    <w:rPr>
      <w:u w:val="none"/>
    </w:rPr>
  </w:style>
  <w:style w:type="character" w:styleId="9">
    <w:name w:val="HTML Definition"/>
    <w:basedOn w:val="5"/>
    <w:semiHidden/>
    <w:unhideWhenUsed/>
    <w:qFormat/>
    <w:uiPriority w:val="99"/>
  </w:style>
  <w:style w:type="character" w:styleId="10">
    <w:name w:val="HTML Typewriter"/>
    <w:basedOn w:val="5"/>
    <w:semiHidden/>
    <w:unhideWhenUsed/>
    <w:uiPriority w:val="99"/>
    <w:rPr>
      <w:rFonts w:ascii="Courier New" w:hAnsi="Courier New"/>
      <w:sz w:val="20"/>
    </w:rPr>
  </w:style>
  <w:style w:type="character" w:styleId="11">
    <w:name w:val="HTML Variable"/>
    <w:basedOn w:val="5"/>
    <w:semiHidden/>
    <w:unhideWhenUsed/>
    <w:qFormat/>
    <w:uiPriority w:val="99"/>
  </w:style>
  <w:style w:type="character" w:styleId="12">
    <w:name w:val="Hyperlink"/>
    <w:basedOn w:val="5"/>
    <w:semiHidden/>
    <w:unhideWhenUsed/>
    <w:qFormat/>
    <w:uiPriority w:val="99"/>
    <w:rPr>
      <w:color w:val="6E6E6E"/>
      <w:u w:val="none"/>
    </w:rPr>
  </w:style>
  <w:style w:type="character" w:styleId="13">
    <w:name w:val="HTML Code"/>
    <w:basedOn w:val="5"/>
    <w:semiHidden/>
    <w:unhideWhenUsed/>
    <w:qFormat/>
    <w:uiPriority w:val="99"/>
    <w:rPr>
      <w:rFonts w:hint="default" w:ascii="Courier New" w:hAnsi="Courier New" w:eastAsia="Courier New" w:cs="Courier New"/>
      <w:sz w:val="20"/>
    </w:rPr>
  </w:style>
  <w:style w:type="character" w:styleId="14">
    <w:name w:val="HTML Cite"/>
    <w:basedOn w:val="5"/>
    <w:semiHidden/>
    <w:unhideWhenUsed/>
    <w:qFormat/>
    <w:uiPriority w:val="99"/>
  </w:style>
  <w:style w:type="character" w:styleId="15">
    <w:name w:val="HTML Keyboard"/>
    <w:basedOn w:val="5"/>
    <w:semiHidden/>
    <w:unhideWhenUsed/>
    <w:qFormat/>
    <w:uiPriority w:val="99"/>
    <w:rPr>
      <w:rFonts w:hint="default" w:ascii="Courier New" w:hAnsi="Courier New" w:eastAsia="Courier New" w:cs="Courier New"/>
      <w:sz w:val="20"/>
    </w:rPr>
  </w:style>
  <w:style w:type="character" w:styleId="16">
    <w:name w:val="HTML Sample"/>
    <w:basedOn w:val="5"/>
    <w:semiHidden/>
    <w:unhideWhenUsed/>
    <w:qFormat/>
    <w:uiPriority w:val="99"/>
    <w:rPr>
      <w:rFonts w:ascii="Courier New" w:hAnsi="Courier New" w:eastAsia="Courier New" w:cs="Courier New"/>
    </w:rPr>
  </w:style>
  <w:style w:type="character" w:customStyle="1" w:styleId="17">
    <w:name w:val="hover13"/>
    <w:basedOn w:val="5"/>
    <w:qFormat/>
    <w:uiPriority w:val="0"/>
  </w:style>
  <w:style w:type="character" w:customStyle="1" w:styleId="18">
    <w:name w:val="hov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540</Words>
  <Characters>3080</Characters>
  <Lines>25</Lines>
  <Paragraphs>7</Paragraphs>
  <TotalTime>1</TotalTime>
  <ScaleCrop>false</ScaleCrop>
  <LinksUpToDate>false</LinksUpToDate>
  <CharactersWithSpaces>3613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2021-11-03T08:14:00Z</dcterms:created>
  <dc:creator>pp</dc:creator>
  <cp:lastModifiedBy>筱磊</cp:lastModifiedBy>
  <dcterms:modified xsi:type="dcterms:W3CDTF">2021-12-03T07:47:13Z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0CED0FD114DE4E638A7370786CD6B0D8</vt:lpwstr>
  </property>
</Properties>
</file>