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pacing w:val="-20"/>
          <w:sz w:val="44"/>
          <w:szCs w:val="44"/>
          <w:lang w:eastAsia="zh-CN"/>
        </w:rPr>
      </w:pPr>
      <w:r>
        <w:rPr>
          <w:rFonts w:hint="eastAsia" w:ascii="仿宋" w:hAnsi="仿宋" w:eastAsia="仿宋" w:cs="隶书"/>
          <w:b/>
          <w:spacing w:val="-20"/>
          <w:sz w:val="52"/>
          <w:szCs w:val="52"/>
          <w:lang w:eastAsia="zh-CN"/>
        </w:rPr>
        <w:t>中国共产党信阳市浉河区委员会办公室</w:t>
      </w: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w:t>
      </w:r>
      <w:r>
        <w:rPr>
          <w:rFonts w:hint="eastAsia" w:ascii="仿宋" w:hAnsi="仿宋" w:eastAsia="仿宋" w:cs="隶书"/>
          <w:b/>
          <w:sz w:val="52"/>
          <w:szCs w:val="52"/>
          <w:lang w:val="en-US" w:eastAsia="zh-CN"/>
        </w:rPr>
        <w:t>1</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中国共产党信阳市浉河区委员会办公室</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中国共产党信阳市浉河区委员会办公室</w:t>
      </w:r>
      <w:r>
        <w:rPr>
          <w:rFonts w:ascii="仿宋" w:hAnsi="仿宋" w:eastAsia="仿宋" w:cs="黑体"/>
          <w:sz w:val="32"/>
          <w:szCs w:val="32"/>
        </w:rPr>
        <w:t>20</w:t>
      </w:r>
      <w:r>
        <w:rPr>
          <w:rFonts w:hint="eastAsia" w:ascii="仿宋" w:hAnsi="仿宋" w:eastAsia="仿宋" w:cs="黑体"/>
          <w:sz w:val="32"/>
          <w:szCs w:val="32"/>
        </w:rPr>
        <w:t>2</w:t>
      </w:r>
      <w:r>
        <w:rPr>
          <w:rFonts w:hint="eastAsia" w:ascii="仿宋" w:hAnsi="仿宋" w:eastAsia="仿宋" w:cs="黑体"/>
          <w:sz w:val="32"/>
          <w:szCs w:val="32"/>
          <w:lang w:val="en-US" w:eastAsia="zh-CN"/>
        </w:rPr>
        <w:t>1</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sz w:val="32"/>
          <w:szCs w:val="32"/>
          <w:lang w:eastAsia="zh-CN"/>
        </w:rPr>
        <w:t>中国共产党信阳市浉河区委员会办公室</w:t>
      </w:r>
      <w:r>
        <w:rPr>
          <w:rFonts w:hint="eastAsia" w:ascii="仿宋" w:hAnsi="仿宋" w:eastAsia="仿宋" w:cs="黑体"/>
          <w:b w:val="0"/>
          <w:bCs w:val="0"/>
          <w:sz w:val="32"/>
          <w:szCs w:val="32"/>
        </w:rPr>
        <w:t>202</w:t>
      </w:r>
      <w:r>
        <w:rPr>
          <w:rFonts w:hint="eastAsia" w:ascii="仿宋" w:hAnsi="仿宋" w:eastAsia="仿宋" w:cs="黑体"/>
          <w:b w:val="0"/>
          <w:bCs w:val="0"/>
          <w:sz w:val="32"/>
          <w:szCs w:val="32"/>
          <w:lang w:val="en-US" w:eastAsia="zh-CN"/>
        </w:rPr>
        <w:t>1</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pStyle w:val="2"/>
        <w:numPr>
          <w:ilvl w:val="0"/>
          <w:numId w:val="0"/>
        </w:numPr>
        <w:ind w:leftChars="0"/>
        <w:rPr>
          <w:rFonts w:hint="eastAsia" w:ascii="仿宋" w:hAnsi="仿宋" w:eastAsia="仿宋" w:cs="宋体"/>
          <w:sz w:val="32"/>
          <w:szCs w:val="32"/>
          <w:lang w:eastAsia="zh-CN"/>
        </w:rPr>
      </w:pPr>
      <w:r>
        <w:rPr>
          <w:rFonts w:hint="eastAsia" w:ascii="仿宋" w:hAnsi="仿宋" w:eastAsia="仿宋" w:cs="黑体"/>
          <w:sz w:val="32"/>
          <w:szCs w:val="32"/>
          <w:lang w:eastAsia="zh-CN"/>
        </w:rPr>
        <w:t>九、</w:t>
      </w:r>
      <w:r>
        <w:rPr>
          <w:rFonts w:hint="eastAsia" w:ascii="仿宋" w:hAnsi="仿宋" w:eastAsia="仿宋" w:cs="宋体"/>
          <w:sz w:val="32"/>
          <w:szCs w:val="32"/>
          <w:lang w:eastAsia="zh-CN"/>
        </w:rPr>
        <w:t>部门（单位）整体绩效目标表</w:t>
      </w:r>
    </w:p>
    <w:p>
      <w:pPr>
        <w:jc w:val="left"/>
        <w:rPr>
          <w:rFonts w:hint="eastAsia" w:ascii="仿宋" w:hAnsi="仿宋" w:eastAsia="仿宋" w:cs="黑体"/>
          <w:sz w:val="32"/>
          <w:szCs w:val="32"/>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lang w:eastAsia="zh-CN"/>
        </w:rPr>
        <w:t>十、</w:t>
      </w:r>
      <w:r>
        <w:rPr>
          <w:rFonts w:hint="eastAsia" w:ascii="仿宋" w:hAnsi="仿宋" w:eastAsia="仿宋" w:cs="宋体"/>
          <w:sz w:val="32"/>
          <w:szCs w:val="32"/>
          <w:lang w:eastAsia="zh-CN"/>
        </w:rPr>
        <w:t>部门预算项目绩效目标表</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中国共产党信阳市浉河区委员会办公室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15"/>
        <w:numPr>
          <w:ilvl w:val="0"/>
          <w:numId w:val="0"/>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部门基本情况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区委办单位机关内设 14个职能科室。主要职责是：负责协助区委领导处理日常工作，贯彻区委的指示、决定。</w:t>
      </w:r>
      <w:r>
        <w:rPr>
          <w:rFonts w:hint="eastAsia" w:ascii="仿宋_GB2312" w:hAnsi="仿宋_GB2312" w:eastAsia="仿宋_GB2312" w:cs="仿宋_GB2312"/>
          <w:spacing w:val="4"/>
          <w:kern w:val="0"/>
          <w:sz w:val="32"/>
          <w:szCs w:val="32"/>
        </w:rPr>
        <w:t>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文件、区委向市委的请示报告、区委领导同志讲话等文稿的起草、修改和印发工作；负责办好内部简报；负责区委和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机关文书处理、档案管理工作；负责中央、省委、市委文件的翻印和分发工作。</w:t>
      </w:r>
      <w:r>
        <w:rPr>
          <w:rFonts w:hint="eastAsia" w:ascii="Times New Roman" w:hAnsi="Times New Roman" w:eastAsia="仿宋_GB2312"/>
          <w:spacing w:val="8"/>
          <w:sz w:val="32"/>
        </w:rPr>
        <w:t>负责研究外事工作重大问题和有关动态并提出工作建议、归口管理全区因公出国工作。</w:t>
      </w:r>
      <w:r>
        <w:rPr>
          <w:rFonts w:hint="eastAsia" w:ascii="Times New Roman" w:hAnsi="Times New Roman" w:eastAsia="仿宋_GB2312"/>
          <w:spacing w:val="4"/>
          <w:sz w:val="32"/>
        </w:rPr>
        <w:t>负责承担区委、</w:t>
      </w:r>
      <w:r>
        <w:rPr>
          <w:rFonts w:hint="eastAsia" w:ascii="Times New Roman" w:hAnsi="Times New Roman" w:eastAsia="仿宋_GB2312"/>
          <w:spacing w:val="4"/>
          <w:sz w:val="32"/>
          <w:lang w:eastAsia="zh-CN"/>
        </w:rPr>
        <w:t>中国共产党信阳市浉河区委员会办公室</w:t>
      </w:r>
      <w:r>
        <w:rPr>
          <w:rFonts w:hint="eastAsia" w:ascii="Times New Roman" w:hAnsi="Times New Roman" w:eastAsia="仿宋_GB2312"/>
          <w:spacing w:val="4"/>
          <w:sz w:val="32"/>
        </w:rPr>
        <w:t>档案管理工作；</w:t>
      </w:r>
      <w:r>
        <w:rPr>
          <w:rFonts w:hint="eastAsia" w:ascii="仿宋_GB2312" w:hAnsi="仿宋_GB2312" w:eastAsia="仿宋_GB2312" w:cs="仿宋_GB2312"/>
          <w:spacing w:val="4"/>
          <w:kern w:val="0"/>
          <w:sz w:val="32"/>
          <w:szCs w:val="32"/>
        </w:rPr>
        <w:t>负责</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离退休人员的管理服务工作。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人员编制数共计</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人，行政工勤9人，事业</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人。实有在职人员数</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人，行政工勤9人,事业</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人。离休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人，退休24人。</w:t>
      </w:r>
    </w:p>
    <w:p>
      <w:pPr>
        <w:spacing w:line="360" w:lineRule="auto"/>
        <w:ind w:left="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年度部门预算编制范围的单位包括：</w:t>
      </w:r>
    </w:p>
    <w:p>
      <w:pPr>
        <w:numPr>
          <w:ilvl w:val="0"/>
          <w:numId w:val="2"/>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lang w:val="en-US" w:eastAsia="zh-CN"/>
        </w:rPr>
        <w:t xml:space="preserve"> </w:t>
      </w:r>
    </w:p>
    <w:p>
      <w:pPr>
        <w:numPr>
          <w:ilvl w:val="0"/>
          <w:numId w:val="2"/>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浉河区档案馆</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浉河区国安办</w:t>
      </w:r>
    </w:p>
    <w:p>
      <w:pPr>
        <w:spacing w:line="360" w:lineRule="auto"/>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是中共信阳市浉河区委的综合办事机构。</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内设14 个职能科室，即</w:t>
      </w:r>
      <w:r>
        <w:rPr>
          <w:rFonts w:hint="eastAsia" w:ascii="仿宋_GB2312" w:hAnsi="仿宋_GB2312" w:eastAsia="仿宋_GB2312" w:cs="仿宋_GB2312"/>
          <w:spacing w:val="8"/>
          <w:sz w:val="32"/>
        </w:rPr>
        <w:t>常委办公室</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rPr>
        <w:t>综合一室</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rPr>
        <w:t>综合二室、文秘工作室（区委法规室）、改革办（区委政策研究室）、信息室、区委值班室、主体责任工作股、国家安全工作股、外事工作股、机要密码工作股、</w:t>
      </w:r>
      <w:r>
        <w:rPr>
          <w:rFonts w:hint="eastAsia" w:ascii="仿宋_GB2312" w:hAnsi="仿宋_GB2312" w:eastAsia="仿宋_GB2312" w:cs="仿宋_GB2312"/>
          <w:spacing w:val="4"/>
          <w:sz w:val="32"/>
        </w:rPr>
        <w:t>保密工作股、</w:t>
      </w:r>
      <w:r>
        <w:rPr>
          <w:rFonts w:hint="eastAsia" w:ascii="仿宋_GB2312" w:hAnsi="仿宋_GB2312" w:eastAsia="仿宋_GB2312" w:cs="仿宋_GB2312"/>
          <w:spacing w:val="8"/>
          <w:sz w:val="32"/>
        </w:rPr>
        <w:t>档案监督管理股、行政后勤股</w:t>
      </w:r>
      <w:r>
        <w:rPr>
          <w:rFonts w:hint="eastAsia" w:ascii="仿宋_GB2312" w:hAnsi="仿宋_GB2312" w:eastAsia="仿宋_GB2312" w:cs="仿宋_GB2312"/>
          <w:sz w:val="32"/>
          <w:szCs w:val="32"/>
        </w:rPr>
        <w:t>。</w:t>
      </w:r>
    </w:p>
    <w:p>
      <w:pPr>
        <w:spacing w:line="360" w:lineRule="auto"/>
        <w:ind w:firstLine="675" w:firstLineChars="200"/>
        <w:jc w:val="left"/>
        <w:rPr>
          <w:rFonts w:ascii="Times New Roman" w:hAnsi="Times New Roman" w:eastAsia="仿宋_GB2312"/>
          <w:spacing w:val="8"/>
          <w:sz w:val="32"/>
        </w:rPr>
      </w:pPr>
      <w:r>
        <w:rPr>
          <w:rFonts w:hint="eastAsia" w:ascii="Times New Roman" w:hAnsi="Times New Roman" w:eastAsia="楷体_GB2312"/>
          <w:b/>
          <w:spacing w:val="8"/>
          <w:sz w:val="32"/>
        </w:rPr>
        <w:t>（一）常委办公室</w:t>
      </w:r>
    </w:p>
    <w:p>
      <w:pPr>
        <w:spacing w:line="360" w:lineRule="auto"/>
        <w:ind w:firstLine="672" w:firstLineChars="200"/>
        <w:jc w:val="left"/>
        <w:rPr>
          <w:rFonts w:ascii="Times New Roman" w:hAnsi="Times New Roman" w:eastAsia="仿宋_GB2312"/>
          <w:spacing w:val="8"/>
          <w:sz w:val="32"/>
        </w:rPr>
      </w:pPr>
      <w:r>
        <w:rPr>
          <w:rFonts w:hint="eastAsia" w:ascii="Times New Roman" w:hAnsi="Times New Roman" w:eastAsia="仿宋_GB2312"/>
          <w:spacing w:val="8"/>
          <w:sz w:val="32"/>
        </w:rPr>
        <w:t>承担区委常委的服务工作，负责区委主要领导同志调研、会见等公务活动服务保障。负责区委常委会会议、区委常委扩大会议具体组织和会议记录、会议决定事项（会议纪要）的起草印发及督办反馈，统筹协调区委常委日常活动安排；负责全区重大会议、重大活动的统筹协调和区委各类会议活动的组织安排。负责区委主要领导同志出席重要会议活动的服务工作；负责区委年度工作要点及月、季要事预安排。承担区委议事协调机构办公室的综合协调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（二)综合一室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区委主要领导同志会议讲话、署名文章等文稿，考察调研、出席活动、会见接见等讲话、致辞及参阅材料的起草和准备，以及新闻通稿的起草和审核工作。围绕全区发展重大问题和区委中心工作开展调查研究，谋划思路举措，提出参谋建议。</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 xml:space="preserve">（三）综合二室  </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负责不担任政府职务的区委副书记讲话等文稿起草工作，承担出席各类会议活动的服务保障工作，协调推动安排事项落实。</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（四）文秘工作室（区委法规室）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负责中央、省委、市委文件办理、翻印、管理工作；负责区委、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文件办理和管理工作；负责对区内机要交通、区直公文交换工作的业务指导和区委日常文件处理；负责组织起草区委重要文件和区委向市委的请示报告；承担区委向市委、各地各部门向区委请示报告事项办理工作；负责区委文件审核、区委规范性文件起草备案等工作，编制实施区委规范性文件制定的规划、计划；承担服务区委领导地方立法工作和法律顾问相关职责；负责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印章管理。</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（五）改革办（区委政策研究室）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承担深改委日常工作；负责组织落实区深改委决策部署；协调组织开展改革试点工作，总结、集合、复制、推广改革经验；开展对各单位全面深化改革工作监督、检查、推动。对接上级深改工作，完成区委深改委交办的其他任务。围绕全区发展重大问题和区委中心工作开展调查研究，谋划思路举措，提出参谋建议；落实上级决策部署，统筹谋划全局性、政策性重大问题，结合区情及时提出意见建议；承担或组织协调区委重大课题调研，服务中央、省委、市委有关调研工作。</w:t>
      </w:r>
    </w:p>
    <w:p>
      <w:pPr>
        <w:tabs>
          <w:tab w:val="left" w:pos="1618"/>
        </w:tabs>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（六）信息室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负责全区重要信息收集、处理、综合、上报工作，为中央、省委、市委、区委和各乡镇办（金牛物流产业集聚区）、区直各部门提供信息服务，编发工作信息简报；指导全区党委系统信息工作；负责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门户网站建设及新媒体账户的管理、服务工作。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（七）区委值班室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负责区委日常值班和重要事项报送，服务区委领导同志指挥处置紧急突发事件；负责区四大家主要领导同志和各乡镇办（金牛产业集聚区）、区直各部门主要负责同志外出报备工作。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（八）主体责任工作股</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承担区委落实全面从严治党主体责任领导小组办公室日常工作；研究新形势下全面从严治党面临的问题，组织开展落实主体责任专题调研活动和检查考核；负责中央、省委、市委巡视服务工作；负责中央、省委、市委巡视组织、协调工作。负责区委党务公开协调办理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及下属事业单位党群、纪检监察、学习教育培训、精神文明建设和统战等日常工作；承担机关党委日常工作。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（九）国家安全工作股</w:t>
      </w:r>
    </w:p>
    <w:p>
      <w:pPr>
        <w:spacing w:line="600" w:lineRule="exact"/>
        <w:ind w:firstLine="675" w:firstLineChars="200"/>
        <w:rPr>
          <w:rFonts w:ascii="Times New Roman" w:hAnsi="Times New Roman" w:eastAsia="楷体_GB2312"/>
          <w:b/>
          <w:spacing w:val="8"/>
          <w:sz w:val="32"/>
        </w:rPr>
      </w:pP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（十）外事工作股</w:t>
      </w:r>
    </w:p>
    <w:p>
      <w:pPr>
        <w:spacing w:line="600" w:lineRule="exact"/>
        <w:ind w:firstLine="672" w:firstLineChars="200"/>
        <w:rPr>
          <w:rFonts w:ascii="Times New Roman" w:hAnsi="Times New Roman" w:eastAsia="仿宋_GB2312"/>
          <w:spacing w:val="4"/>
          <w:sz w:val="32"/>
        </w:rPr>
      </w:pPr>
      <w:r>
        <w:rPr>
          <w:rFonts w:hint="eastAsia" w:ascii="Times New Roman" w:hAnsi="Times New Roman" w:eastAsia="仿宋_GB2312"/>
          <w:spacing w:val="8"/>
          <w:sz w:val="32"/>
        </w:rPr>
        <w:t>承担区委外事工作委员会办公室（区政府外事办公室）日常工作。总体谋划、统筹协调、归口管理、检查督办全区外事工作；负责外事政策及法规等宣传教育；统筹安排区委、区人大、区政府、区政协和其他区级领导的外事活动；负责组织或参与接待来外事访问重要来宾和</w:t>
      </w:r>
      <w:r>
        <w:rPr>
          <w:rFonts w:hint="eastAsia" w:ascii="Times New Roman" w:hAnsi="Times New Roman" w:eastAsia="仿宋_GB2312"/>
          <w:spacing w:val="4"/>
          <w:sz w:val="32"/>
        </w:rPr>
        <w:t>其他重要来宾；负责管理全区与外国开展友好城市以及其他结好单位的交往活动；负责归口管理全区因公出国工作；负责外国记者、外国常驻新闻机构及记者来区采访管理有关事宜。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（十一）机要密码工作股</w:t>
      </w:r>
    </w:p>
    <w:p>
      <w:pPr>
        <w:spacing w:line="600" w:lineRule="exact"/>
        <w:ind w:firstLine="659" w:firstLineChars="200"/>
        <w:rPr>
          <w:rFonts w:ascii="Times New Roman" w:hAnsi="Times New Roman" w:eastAsia="楷体_GB2312"/>
          <w:b/>
          <w:spacing w:val="4"/>
          <w:sz w:val="32"/>
        </w:rPr>
      </w:pPr>
      <w:r>
        <w:rPr>
          <w:rFonts w:hint="eastAsia" w:ascii="Times New Roman" w:hAnsi="Times New Roman" w:eastAsia="楷体_GB2312"/>
          <w:b/>
          <w:spacing w:val="4"/>
          <w:sz w:val="32"/>
        </w:rPr>
        <w:t>（十二）保密工作股</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（十三）档案监督管理股</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负责全区档案行政管理工作；负责拟订档案管理规章制度；负责全区档案管理业务指导、档案执法监督检查和相关行政案件办理；负责管理指导区档案馆业务工作；承担区委、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档案管理工作。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（十四）行政后勤股</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负责市级以上领导及其他重要来宾接待服务的组织、协调工作。承担</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及管理单位干部人事、机构编制、工资福利保险、工会等工作；负责区委和</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及其管理单位后勤保障等工作；负责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及其管理单位国有资产的采购和管理、财务管理等工作；负责区委和</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及其管理单位离退休干部工作。</w:t>
      </w:r>
    </w:p>
    <w:p>
      <w:pPr>
        <w:tabs>
          <w:tab w:val="left" w:pos="463"/>
        </w:tabs>
        <w:spacing w:line="600" w:lineRule="exact"/>
        <w:ind w:firstLine="672" w:firstLineChars="200"/>
        <w:rPr>
          <w:rFonts w:ascii="楷体_GB2312" w:hAnsi="楷体_GB2312" w:eastAsia="楷体_GB2312" w:cs="楷体_GB2312"/>
          <w:b/>
          <w:sz w:val="32"/>
          <w:szCs w:val="32"/>
        </w:rPr>
      </w:pPr>
      <w:r>
        <w:rPr>
          <w:rFonts w:hint="eastAsia" w:ascii="Times New Roman" w:hAnsi="Times New Roman" w:eastAsia="仿宋_GB2312"/>
          <w:spacing w:val="8"/>
          <w:sz w:val="32"/>
        </w:rPr>
        <w:tab/>
      </w:r>
      <w:r>
        <w:rPr>
          <w:rFonts w:hint="eastAsia" w:ascii="楷体_GB2312" w:hAnsi="楷体_GB2312" w:eastAsia="楷体_GB2312" w:cs="楷体_GB2312"/>
          <w:b/>
          <w:sz w:val="32"/>
          <w:szCs w:val="32"/>
        </w:rPr>
        <w:t>并入保留牌子的单位：</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河区委机要保密局</w:t>
      </w:r>
      <w:r>
        <w:rPr>
          <w:rFonts w:hint="eastAsia" w:ascii="楷体_GB2312" w:hAnsi="楷体_GB2312" w:eastAsia="楷体_GB2312" w:cs="楷体_GB2312"/>
          <w:sz w:val="32"/>
          <w:szCs w:val="32"/>
        </w:rPr>
        <w:t>（区国家保密局、区密码管理局）</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河区委全面深化改革工作办公室</w:t>
      </w:r>
      <w:r>
        <w:rPr>
          <w:rFonts w:hint="eastAsia" w:ascii="仿宋_GB2312" w:hAnsi="仿宋_GB2312" w:eastAsia="仿宋_GB2312" w:cs="仿宋_GB2312"/>
          <w:sz w:val="32"/>
          <w:szCs w:val="32"/>
        </w:rPr>
        <w:t>（区改革办）</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河区委外事工作委员会办公室（</w:t>
      </w:r>
      <w:r>
        <w:rPr>
          <w:rFonts w:hint="eastAsia" w:ascii="Times New Roman" w:hAnsi="宋体"/>
          <w:spacing w:val="8"/>
          <w:sz w:val="32"/>
        </w:rPr>
        <w:t>浉</w:t>
      </w:r>
      <w:r>
        <w:rPr>
          <w:rFonts w:hint="eastAsia" w:ascii="Times New Roman" w:hAnsi="Times New Roman" w:eastAsia="仿宋_GB2312"/>
          <w:spacing w:val="8"/>
          <w:sz w:val="32"/>
        </w:rPr>
        <w:t>河区人民政府外事办公室）</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河区委国家安全委员会办公室</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Times New Roman" w:hAnsi="宋体"/>
          <w:spacing w:val="8"/>
          <w:sz w:val="32"/>
        </w:rPr>
        <w:t>浉</w:t>
      </w:r>
      <w:r>
        <w:rPr>
          <w:rFonts w:hint="eastAsia" w:ascii="Times New Roman" w:hAnsi="Times New Roman" w:eastAsia="仿宋_GB2312"/>
          <w:spacing w:val="8"/>
          <w:sz w:val="32"/>
        </w:rPr>
        <w:t>河区档案馆</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center"/>
        <w:outlineLvl w:val="0"/>
        <w:rPr>
          <w:rFonts w:ascii="仿宋" w:hAnsi="仿宋" w:eastAsia="仿宋" w:cs="隶书"/>
          <w:b/>
          <w:bCs w:val="0"/>
          <w:sz w:val="48"/>
          <w:szCs w:val="48"/>
        </w:rPr>
      </w:pPr>
      <w:r>
        <w:rPr>
          <w:rFonts w:hint="eastAsia" w:ascii="仿宋" w:hAnsi="仿宋" w:eastAsia="仿宋" w:cs="隶书"/>
          <w:b/>
          <w:bCs w:val="0"/>
          <w:sz w:val="48"/>
          <w:szCs w:val="48"/>
        </w:rPr>
        <w:t>第</w:t>
      </w:r>
      <w:r>
        <w:rPr>
          <w:rFonts w:hint="eastAsia" w:ascii="仿宋" w:hAnsi="仿宋" w:eastAsia="仿宋" w:cs="隶书"/>
          <w:b/>
          <w:bCs w:val="0"/>
          <w:sz w:val="48"/>
          <w:szCs w:val="48"/>
          <w:lang w:val="en-US" w:eastAsia="zh-CN"/>
        </w:rPr>
        <w:t>二</w:t>
      </w:r>
      <w:r>
        <w:rPr>
          <w:rFonts w:hint="eastAsia" w:ascii="仿宋" w:hAnsi="仿宋" w:eastAsia="仿宋" w:cs="隶书"/>
          <w:b/>
          <w:bCs w:val="0"/>
          <w:sz w:val="48"/>
          <w:szCs w:val="48"/>
        </w:rPr>
        <w:t>部分</w:t>
      </w:r>
    </w:p>
    <w:p>
      <w:pPr>
        <w:jc w:val="center"/>
        <w:rPr>
          <w:rFonts w:hint="eastAsia" w:ascii="仿宋" w:hAnsi="仿宋" w:eastAsia="仿宋" w:cs="隶书"/>
          <w:b/>
          <w:bCs w:val="0"/>
          <w:sz w:val="48"/>
          <w:szCs w:val="48"/>
          <w:lang w:eastAsia="zh-CN"/>
        </w:rPr>
      </w:pPr>
      <w:r>
        <w:rPr>
          <w:rFonts w:hint="eastAsia" w:ascii="仿宋" w:hAnsi="仿宋" w:eastAsia="仿宋" w:cs="隶书"/>
          <w:b/>
          <w:bCs w:val="0"/>
          <w:sz w:val="48"/>
          <w:szCs w:val="48"/>
          <w:lang w:eastAsia="zh-CN"/>
        </w:rPr>
        <w:t>中国共产党信阳市浉河区委员会办公室</w:t>
      </w:r>
    </w:p>
    <w:p>
      <w:pPr>
        <w:jc w:val="center"/>
        <w:rPr>
          <w:rFonts w:ascii="仿宋" w:hAnsi="仿宋" w:eastAsia="仿宋" w:cs="隶书"/>
          <w:b/>
          <w:bCs w:val="0"/>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b/>
          <w:bCs w:val="0"/>
          <w:sz w:val="48"/>
          <w:szCs w:val="48"/>
        </w:rPr>
        <w:t>20</w:t>
      </w:r>
      <w:r>
        <w:rPr>
          <w:rFonts w:hint="eastAsia" w:ascii="仿宋" w:hAnsi="仿宋" w:eastAsia="仿宋" w:cs="隶书"/>
          <w:b/>
          <w:bCs w:val="0"/>
          <w:sz w:val="48"/>
          <w:szCs w:val="48"/>
        </w:rPr>
        <w:t>2</w:t>
      </w:r>
      <w:r>
        <w:rPr>
          <w:rFonts w:hint="eastAsia" w:ascii="仿宋" w:hAnsi="仿宋" w:eastAsia="仿宋" w:cs="隶书"/>
          <w:b/>
          <w:bCs w:val="0"/>
          <w:sz w:val="48"/>
          <w:szCs w:val="48"/>
          <w:lang w:val="en-US" w:eastAsia="zh-CN"/>
        </w:rPr>
        <w:t>1</w:t>
      </w:r>
      <w:r>
        <w:rPr>
          <w:rFonts w:hint="eastAsia" w:ascii="仿宋" w:hAnsi="仿宋" w:eastAsia="仿宋" w:cs="隶书"/>
          <w:b/>
          <w:bCs w:val="0"/>
          <w:sz w:val="48"/>
          <w:szCs w:val="48"/>
        </w:rPr>
        <w:t>年度部门预算情况说明</w:t>
      </w:r>
    </w:p>
    <w:p>
      <w:pPr>
        <w:adjustRightInd w:val="0"/>
        <w:snapToGrid w:val="0"/>
        <w:spacing w:line="360" w:lineRule="auto"/>
        <w:ind w:firstLine="643" w:firstLineChars="200"/>
        <w:outlineLvl w:val="1"/>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一、关于收入支出预算总体情况说明</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878.2</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878.2</w:t>
      </w:r>
      <w:r>
        <w:rPr>
          <w:rFonts w:hint="eastAsia" w:ascii="仿宋_GB2312" w:hAnsi="仿宋_GB2312" w:eastAsia="仿宋_GB2312" w:cs="仿宋_GB2312"/>
          <w:sz w:val="32"/>
          <w:szCs w:val="32"/>
        </w:rPr>
        <w:t>万元，与2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年相比，收入支出</w:t>
      </w:r>
      <w:r>
        <w:rPr>
          <w:rFonts w:hint="eastAsia" w:ascii="仿宋_GB2312" w:hAnsi="仿宋_GB2312" w:eastAsia="仿宋_GB2312" w:cs="仿宋_GB2312"/>
          <w:sz w:val="32"/>
          <w:szCs w:val="32"/>
          <w:lang w:val="en-US" w:eastAsia="zh-CN"/>
        </w:rPr>
        <w:t>增加100.65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原因是档案馆与国安办纳入预算。</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二、关于收入预算情况说明</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878.2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878.2</w:t>
      </w:r>
      <w:r>
        <w:rPr>
          <w:rFonts w:hint="eastAsia" w:ascii="仿宋_GB2312" w:hAnsi="仿宋_GB2312" w:eastAsia="仿宋_GB2312" w:cs="仿宋_GB2312"/>
          <w:sz w:val="32"/>
          <w:szCs w:val="32"/>
        </w:rPr>
        <w:t>万元，占100 %；事业收入0 万元，占 0 %；经营收入0万元，占 0 %；其他收入0万元，占0 %。</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三、关于支出预算情况说明</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878.2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695.5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79.2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182.7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四、财政拨款收入支出预算总体情况说明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年财政拨款收</w:t>
      </w:r>
      <w:r>
        <w:rPr>
          <w:rFonts w:hint="eastAsia" w:ascii="仿宋_GB2312" w:hAnsi="仿宋_GB2312" w:eastAsia="仿宋_GB2312" w:cs="仿宋_GB2312"/>
          <w:sz w:val="32"/>
          <w:szCs w:val="32"/>
          <w:lang w:val="en-US" w:eastAsia="zh-CN"/>
        </w:rPr>
        <w:t>入支出总预算878.2万元，</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年相比，财政拨款收</w:t>
      </w:r>
      <w:r>
        <w:rPr>
          <w:rFonts w:hint="eastAsia" w:ascii="仿宋_GB2312" w:hAnsi="仿宋_GB2312" w:eastAsia="仿宋_GB2312" w:cs="仿宋_GB2312"/>
          <w:sz w:val="32"/>
          <w:szCs w:val="32"/>
          <w:lang w:val="en-US" w:eastAsia="zh-CN"/>
        </w:rPr>
        <w:t>入支出增加100.65万元，增加12.9%</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原因档案馆与国安办纳入预算。</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color w:val="000000"/>
          <w:kern w:val="0"/>
          <w:sz w:val="32"/>
          <w:szCs w:val="32"/>
        </w:rPr>
        <w:t>支出预</w:t>
      </w:r>
      <w:r>
        <w:rPr>
          <w:rFonts w:hint="eastAsia" w:ascii="仿宋_GB2312" w:hAnsi="仿宋_GB2312" w:eastAsia="仿宋_GB2312" w:cs="仿宋_GB2312"/>
          <w:b/>
          <w:bCs/>
          <w:sz w:val="32"/>
          <w:szCs w:val="32"/>
        </w:rPr>
        <w:t>算情况说明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一般公共预算</w:t>
      </w:r>
      <w:r>
        <w:rPr>
          <w:rFonts w:hint="eastAsia" w:ascii="仿宋_GB2312" w:hAnsi="仿宋_GB2312" w:eastAsia="仿宋_GB2312" w:cs="仿宋_GB2312"/>
          <w:sz w:val="32"/>
          <w:szCs w:val="32"/>
        </w:rPr>
        <w:t>支出合计</w:t>
      </w:r>
      <w:r>
        <w:rPr>
          <w:rFonts w:hint="eastAsia" w:ascii="仿宋_GB2312" w:hAnsi="仿宋_GB2312" w:eastAsia="仿宋_GB2312" w:cs="仿宋_GB2312"/>
          <w:sz w:val="32"/>
          <w:szCs w:val="32"/>
          <w:lang w:val="en-US" w:eastAsia="zh-CN"/>
        </w:rPr>
        <w:t>878.2</w:t>
      </w:r>
      <w:r>
        <w:rPr>
          <w:rFonts w:hint="eastAsia" w:ascii="仿宋_GB2312" w:hAnsi="仿宋_GB2312" w:eastAsia="仿宋_GB2312" w:cs="仿宋_GB2312"/>
          <w:sz w:val="32"/>
          <w:szCs w:val="32"/>
        </w:rPr>
        <w:t>万元，与2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增加100.65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增加12.9</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原因档案馆与国安办纳入预算。</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695.5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79.2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182.7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p>
    <w:p>
      <w:pPr>
        <w:numPr>
          <w:ilvl w:val="0"/>
          <w:numId w:val="3"/>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w:t>
      </w:r>
      <w:r>
        <w:rPr>
          <w:rFonts w:hint="eastAsia" w:ascii="仿宋_GB2312" w:hAnsi="仿宋_GB2312" w:eastAsia="仿宋_GB2312" w:cs="仿宋_GB2312"/>
          <w:sz w:val="32"/>
          <w:szCs w:val="32"/>
          <w:lang w:val="en-US" w:eastAsia="zh-CN"/>
        </w:rPr>
        <w:t>一般公共预算基本支出695.5</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608.2</w:t>
      </w:r>
      <w:r>
        <w:rPr>
          <w:rFonts w:hint="eastAsia" w:ascii="仿宋_GB2312" w:hAnsi="仿宋_GB2312" w:eastAsia="仿宋_GB2312" w:cs="仿宋_GB2312"/>
          <w:sz w:val="32"/>
          <w:szCs w:val="32"/>
        </w:rPr>
        <w:t>万元，主要包括：基本工资、津贴补贴、奖金、社会保障缴费、伙食补助费、绩效工资、其他工资福利支出。</w:t>
      </w:r>
      <w:r>
        <w:rPr>
          <w:rFonts w:hint="eastAsia" w:ascii="仿宋_GB2312" w:hAnsi="仿宋_GB2312" w:eastAsia="仿宋_GB2312" w:cs="仿宋_GB2312"/>
          <w:sz w:val="32"/>
          <w:szCs w:val="32"/>
          <w:lang w:val="en-US" w:eastAsia="zh-CN"/>
        </w:rPr>
        <w:t>公用经费87.3</w:t>
      </w:r>
      <w:r>
        <w:rPr>
          <w:rFonts w:hint="eastAsia" w:ascii="仿宋_GB2312" w:hAnsi="仿宋_GB2312" w:eastAsia="仿宋_GB2312" w:cs="仿宋_GB2312"/>
          <w:sz w:val="32"/>
          <w:szCs w:val="32"/>
        </w:rPr>
        <w:t xml:space="preserve"> 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万元，其中：因公出国（境）费支出预算为0万元；公务用车购置及运行费支出预算为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万元；公务接待费支出预算为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万元。主要原因是：202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单位严格执行公务用车改革制度，包含车辆保险、维修费和加油费；公务接待费支出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年度“三公”经费财政拨款支出预算中，因公出国（境）费支出预算0万元，占0%；公务用车购置及运行费支出预算</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占比10%；</w:t>
      </w:r>
      <w:r>
        <w:rPr>
          <w:rFonts w:hint="eastAsia" w:ascii="仿宋_GB2312" w:hAnsi="仿宋_GB2312" w:eastAsia="仿宋_GB2312" w:cs="仿宋_GB2312"/>
          <w:sz w:val="32"/>
          <w:szCs w:val="32"/>
        </w:rPr>
        <w:t>公务接待费支出预算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占比90%；</w:t>
      </w:r>
      <w:r>
        <w:rPr>
          <w:rFonts w:hint="eastAsia" w:ascii="仿宋_GB2312" w:hAnsi="仿宋_GB2312" w:eastAsia="仿宋_GB2312" w:cs="仿宋_GB2312"/>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万元。现有公务用车2辆，主要用于车辆保险、维修和加油费。</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万元。其中：主要用于</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日常的公务接待。</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年度政府性基金预算财政拨款支出年初预算为0万元，支出为0万元。</w:t>
      </w:r>
    </w:p>
    <w:p>
      <w:pPr>
        <w:adjustRightInd w:val="0"/>
        <w:snapToGrid w:val="0"/>
        <w:spacing w:line="360" w:lineRule="auto"/>
        <w:ind w:firstLine="643" w:firstLineChars="200"/>
        <w:outlineLvl w:val="1"/>
        <w:rPr>
          <w:rFonts w:ascii="仿宋" w:hAnsi="仿宋" w:eastAsia="仿宋"/>
          <w:sz w:val="32"/>
          <w:szCs w:val="32"/>
        </w:rPr>
      </w:pPr>
      <w:r>
        <w:rPr>
          <w:rFonts w:hint="eastAsia" w:ascii="仿宋_GB2312" w:hAnsi="仿宋_GB2312" w:eastAsia="仿宋_GB2312" w:cs="仿宋_GB2312"/>
          <w:b/>
          <w:bCs/>
          <w:sz w:val="32"/>
          <w:szCs w:val="32"/>
          <w:lang w:eastAsia="zh-CN"/>
        </w:rPr>
        <w:t>九、</w:t>
      </w:r>
      <w:r>
        <w:rPr>
          <w:rFonts w:hint="eastAsia" w:ascii="仿宋" w:hAnsi="仿宋" w:eastAsia="仿宋"/>
          <w:sz w:val="32"/>
          <w:szCs w:val="32"/>
        </w:rPr>
        <w:t>关于</w:t>
      </w:r>
      <w:r>
        <w:rPr>
          <w:rFonts w:hint="eastAsia" w:ascii="仿宋" w:hAnsi="仿宋" w:eastAsia="仿宋"/>
          <w:sz w:val="32"/>
          <w:szCs w:val="32"/>
          <w:lang w:val="en-US" w:eastAsia="zh-CN"/>
        </w:rPr>
        <w:t>2021年部门预算项目绩效目标表</w:t>
      </w:r>
      <w:r>
        <w:rPr>
          <w:rFonts w:hint="eastAsia" w:ascii="仿宋" w:hAnsi="仿宋" w:eastAsia="仿宋"/>
          <w:sz w:val="32"/>
          <w:szCs w:val="32"/>
        </w:rPr>
        <w:t>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hint="eastAsia" w:ascii="仿宋" w:hAnsi="仿宋" w:eastAsia="仿宋"/>
          <w:sz w:val="32"/>
          <w:szCs w:val="32"/>
          <w:lang w:val="en-US" w:eastAsia="zh-CN"/>
        </w:rPr>
        <w:t>部门预算项目绩效目标表为0</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年度机关运行经费预算支出</w:t>
      </w:r>
      <w:r>
        <w:rPr>
          <w:rFonts w:hint="eastAsia" w:ascii="仿宋_GB2312" w:hAnsi="仿宋_GB2312" w:eastAsia="仿宋_GB2312" w:cs="仿宋_GB2312"/>
          <w:color w:val="000000"/>
          <w:sz w:val="32"/>
          <w:szCs w:val="32"/>
          <w:lang w:val="en-US" w:eastAsia="zh-CN"/>
        </w:rPr>
        <w:t>87.3</w:t>
      </w:r>
      <w:r>
        <w:rPr>
          <w:rFonts w:hint="eastAsia" w:ascii="仿宋_GB2312" w:hAnsi="仿宋_GB2312" w:eastAsia="仿宋_GB2312" w:cs="仿宋_GB2312"/>
          <w:sz w:val="32"/>
          <w:szCs w:val="32"/>
        </w:rPr>
        <w:t>万元。主要用于办公费、印刷费、差旅费等支出。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年度政府采购支出预算总额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万元、政府采购工程预算0万元、政府采购服务预算0万元，用于采购空调、电脑。</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（三）国有资产占用情况。</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中共信阳市浉河区委办公室</w:t>
      </w:r>
      <w:r>
        <w:rPr>
          <w:rFonts w:hint="eastAsia" w:ascii="仿宋_GB2312" w:hAnsi="仿宋_GB2312" w:eastAsia="仿宋_GB2312" w:cs="仿宋_GB2312"/>
          <w:sz w:val="32"/>
          <w:szCs w:val="32"/>
        </w:rPr>
        <w:t>共有车辆2辆，其中：一般公务用车1辆，一般执法执勤用车0辆、机要应急通信用车1辆，其他用车0辆。单价50万以上通信设备0台（套），单位价值100万元以上专用设备0台（套）。</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）关于预算绩效管理工作开展情况说明</w:t>
      </w:r>
    </w:p>
    <w:p>
      <w:pPr>
        <w:adjustRightInd w:val="0"/>
        <w:snapToGrid w:val="0"/>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年开展项目预算绩效评价</w:t>
      </w:r>
      <w:r>
        <w:rPr>
          <w:rFonts w:hint="eastAsia" w:ascii="仿宋_GB2312" w:hAnsi="仿宋_GB2312" w:eastAsia="仿宋_GB2312" w:cs="仿宋_GB2312"/>
          <w:sz w:val="32"/>
          <w:szCs w:val="32"/>
          <w:lang w:eastAsia="zh-CN"/>
        </w:rPr>
        <w:t>详见表格</w:t>
      </w:r>
      <w:r>
        <w:rPr>
          <w:rFonts w:hint="eastAsia" w:ascii="仿宋_GB2312" w:hAnsi="仿宋_GB2312"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FF1B0"/>
    <w:multiLevelType w:val="singleLevel"/>
    <w:tmpl w:val="2B2FF1B0"/>
    <w:lvl w:ilvl="0" w:tentative="0">
      <w:start w:val="6"/>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511C2"/>
    <w:rsid w:val="00092801"/>
    <w:rsid w:val="000B1B09"/>
    <w:rsid w:val="000B1B9B"/>
    <w:rsid w:val="00100279"/>
    <w:rsid w:val="00132E43"/>
    <w:rsid w:val="00170110"/>
    <w:rsid w:val="0017112E"/>
    <w:rsid w:val="00172A27"/>
    <w:rsid w:val="001D3FB5"/>
    <w:rsid w:val="002A721A"/>
    <w:rsid w:val="00336FCB"/>
    <w:rsid w:val="00376170"/>
    <w:rsid w:val="003D011F"/>
    <w:rsid w:val="00402C74"/>
    <w:rsid w:val="004C11C3"/>
    <w:rsid w:val="004D36BB"/>
    <w:rsid w:val="004F3C7C"/>
    <w:rsid w:val="0050293C"/>
    <w:rsid w:val="00503F16"/>
    <w:rsid w:val="005E126E"/>
    <w:rsid w:val="00630D31"/>
    <w:rsid w:val="006F22F7"/>
    <w:rsid w:val="007115FD"/>
    <w:rsid w:val="00731FE8"/>
    <w:rsid w:val="00743248"/>
    <w:rsid w:val="00787823"/>
    <w:rsid w:val="007956F5"/>
    <w:rsid w:val="007A304E"/>
    <w:rsid w:val="007B72EA"/>
    <w:rsid w:val="007F7F87"/>
    <w:rsid w:val="008F38FE"/>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26F86"/>
    <w:rsid w:val="00C57D7B"/>
    <w:rsid w:val="00C6444A"/>
    <w:rsid w:val="00CD4933"/>
    <w:rsid w:val="00D33BF9"/>
    <w:rsid w:val="00D9092F"/>
    <w:rsid w:val="00DB1C77"/>
    <w:rsid w:val="00DD5457"/>
    <w:rsid w:val="00E11F42"/>
    <w:rsid w:val="00E21B07"/>
    <w:rsid w:val="00E32E02"/>
    <w:rsid w:val="00E8190D"/>
    <w:rsid w:val="00E92067"/>
    <w:rsid w:val="00ED38A5"/>
    <w:rsid w:val="00ED44BB"/>
    <w:rsid w:val="00EE6AA4"/>
    <w:rsid w:val="00F92F65"/>
    <w:rsid w:val="00FB0B96"/>
    <w:rsid w:val="01F21A60"/>
    <w:rsid w:val="026651AD"/>
    <w:rsid w:val="027033B1"/>
    <w:rsid w:val="02E05DA0"/>
    <w:rsid w:val="03240ECA"/>
    <w:rsid w:val="04453648"/>
    <w:rsid w:val="056649DE"/>
    <w:rsid w:val="05B854AA"/>
    <w:rsid w:val="07F31BEE"/>
    <w:rsid w:val="084D7413"/>
    <w:rsid w:val="08A93228"/>
    <w:rsid w:val="08FB3159"/>
    <w:rsid w:val="09BB2134"/>
    <w:rsid w:val="0C366EEC"/>
    <w:rsid w:val="0E6A093A"/>
    <w:rsid w:val="0E9E4588"/>
    <w:rsid w:val="0FAB2FE6"/>
    <w:rsid w:val="0FEF0DE6"/>
    <w:rsid w:val="113E646F"/>
    <w:rsid w:val="117A0571"/>
    <w:rsid w:val="147E551D"/>
    <w:rsid w:val="14D2458E"/>
    <w:rsid w:val="150B6848"/>
    <w:rsid w:val="15492582"/>
    <w:rsid w:val="15F92852"/>
    <w:rsid w:val="17965762"/>
    <w:rsid w:val="17BE6092"/>
    <w:rsid w:val="17E80BA7"/>
    <w:rsid w:val="17F73D7A"/>
    <w:rsid w:val="18DC2E11"/>
    <w:rsid w:val="1A624019"/>
    <w:rsid w:val="1BE51727"/>
    <w:rsid w:val="1C1F61CB"/>
    <w:rsid w:val="1C3B117F"/>
    <w:rsid w:val="1C970E94"/>
    <w:rsid w:val="1E2566FD"/>
    <w:rsid w:val="1E7D3B34"/>
    <w:rsid w:val="1EEB02EE"/>
    <w:rsid w:val="20137EE5"/>
    <w:rsid w:val="20F5460F"/>
    <w:rsid w:val="212E5315"/>
    <w:rsid w:val="227C5EF5"/>
    <w:rsid w:val="231E0895"/>
    <w:rsid w:val="254B33D1"/>
    <w:rsid w:val="256D2254"/>
    <w:rsid w:val="25AC0D82"/>
    <w:rsid w:val="260F67BD"/>
    <w:rsid w:val="27507D70"/>
    <w:rsid w:val="29125273"/>
    <w:rsid w:val="29621C7E"/>
    <w:rsid w:val="2983760E"/>
    <w:rsid w:val="2995522F"/>
    <w:rsid w:val="29B13F52"/>
    <w:rsid w:val="29ED2241"/>
    <w:rsid w:val="2ACE51FA"/>
    <w:rsid w:val="2BA4769A"/>
    <w:rsid w:val="2C654BE7"/>
    <w:rsid w:val="2C8F6BCF"/>
    <w:rsid w:val="2CC075DB"/>
    <w:rsid w:val="2CD06EF4"/>
    <w:rsid w:val="2D9D4DA5"/>
    <w:rsid w:val="2DBF18D1"/>
    <w:rsid w:val="2F47056C"/>
    <w:rsid w:val="307652F7"/>
    <w:rsid w:val="31B42D63"/>
    <w:rsid w:val="325F6EF2"/>
    <w:rsid w:val="32EF005E"/>
    <w:rsid w:val="32EF40CE"/>
    <w:rsid w:val="33A76F4E"/>
    <w:rsid w:val="342108C4"/>
    <w:rsid w:val="343D38DE"/>
    <w:rsid w:val="34416F30"/>
    <w:rsid w:val="35A207C0"/>
    <w:rsid w:val="360244D5"/>
    <w:rsid w:val="364D690A"/>
    <w:rsid w:val="36FA2471"/>
    <w:rsid w:val="370237AE"/>
    <w:rsid w:val="37254EB1"/>
    <w:rsid w:val="372974AC"/>
    <w:rsid w:val="38262F47"/>
    <w:rsid w:val="39637962"/>
    <w:rsid w:val="39765334"/>
    <w:rsid w:val="39967F15"/>
    <w:rsid w:val="3AE7177F"/>
    <w:rsid w:val="3C5769C0"/>
    <w:rsid w:val="3EA437AD"/>
    <w:rsid w:val="3EBD727B"/>
    <w:rsid w:val="3EEE22CD"/>
    <w:rsid w:val="3EF454D0"/>
    <w:rsid w:val="3F081D17"/>
    <w:rsid w:val="3FCD07F4"/>
    <w:rsid w:val="407C0542"/>
    <w:rsid w:val="40B138B6"/>
    <w:rsid w:val="41CF71DE"/>
    <w:rsid w:val="42271DDB"/>
    <w:rsid w:val="42563EC6"/>
    <w:rsid w:val="43E82B9D"/>
    <w:rsid w:val="44C2415A"/>
    <w:rsid w:val="457B1C96"/>
    <w:rsid w:val="468900BD"/>
    <w:rsid w:val="46B048D6"/>
    <w:rsid w:val="46F559ED"/>
    <w:rsid w:val="477D716C"/>
    <w:rsid w:val="48B52937"/>
    <w:rsid w:val="48C00F7D"/>
    <w:rsid w:val="48EE3EF3"/>
    <w:rsid w:val="48F301A2"/>
    <w:rsid w:val="49CC4BF2"/>
    <w:rsid w:val="4B2D55EB"/>
    <w:rsid w:val="4C1E2F28"/>
    <w:rsid w:val="4DE20C7C"/>
    <w:rsid w:val="4E987270"/>
    <w:rsid w:val="4F94084B"/>
    <w:rsid w:val="4FEB121F"/>
    <w:rsid w:val="50C2787A"/>
    <w:rsid w:val="5115239B"/>
    <w:rsid w:val="51562DE3"/>
    <w:rsid w:val="53106957"/>
    <w:rsid w:val="53BB748C"/>
    <w:rsid w:val="541D6A82"/>
    <w:rsid w:val="544677EE"/>
    <w:rsid w:val="55EA1009"/>
    <w:rsid w:val="5651051D"/>
    <w:rsid w:val="56AD5CB5"/>
    <w:rsid w:val="56DB5B25"/>
    <w:rsid w:val="57E961A8"/>
    <w:rsid w:val="581E77CF"/>
    <w:rsid w:val="582F1513"/>
    <w:rsid w:val="58B06254"/>
    <w:rsid w:val="591F45F6"/>
    <w:rsid w:val="5AF25131"/>
    <w:rsid w:val="5BCA31AA"/>
    <w:rsid w:val="5C0F3375"/>
    <w:rsid w:val="5C975E67"/>
    <w:rsid w:val="5DD56AC2"/>
    <w:rsid w:val="5E2872D2"/>
    <w:rsid w:val="5E886EBD"/>
    <w:rsid w:val="5EB57926"/>
    <w:rsid w:val="5ECF3FA4"/>
    <w:rsid w:val="5F130DE5"/>
    <w:rsid w:val="5F964892"/>
    <w:rsid w:val="5FB578F9"/>
    <w:rsid w:val="600176AC"/>
    <w:rsid w:val="60B8378D"/>
    <w:rsid w:val="60F22670"/>
    <w:rsid w:val="617072B6"/>
    <w:rsid w:val="617A16DC"/>
    <w:rsid w:val="627A693C"/>
    <w:rsid w:val="62D27395"/>
    <w:rsid w:val="62FD22C9"/>
    <w:rsid w:val="63FC5C35"/>
    <w:rsid w:val="664A46E0"/>
    <w:rsid w:val="6796775E"/>
    <w:rsid w:val="67D84ED8"/>
    <w:rsid w:val="68500770"/>
    <w:rsid w:val="686B0051"/>
    <w:rsid w:val="687C156E"/>
    <w:rsid w:val="68E95CA0"/>
    <w:rsid w:val="68F315DE"/>
    <w:rsid w:val="69F84494"/>
    <w:rsid w:val="6ABB6698"/>
    <w:rsid w:val="6AC30185"/>
    <w:rsid w:val="6D465925"/>
    <w:rsid w:val="6DC12C15"/>
    <w:rsid w:val="6F2D14A1"/>
    <w:rsid w:val="6FA972BB"/>
    <w:rsid w:val="6FDF24CC"/>
    <w:rsid w:val="705F045F"/>
    <w:rsid w:val="70EA474B"/>
    <w:rsid w:val="71490407"/>
    <w:rsid w:val="7156288B"/>
    <w:rsid w:val="72B61072"/>
    <w:rsid w:val="73F12465"/>
    <w:rsid w:val="75531EF6"/>
    <w:rsid w:val="755A7A11"/>
    <w:rsid w:val="75D0003D"/>
    <w:rsid w:val="764669A9"/>
    <w:rsid w:val="783E1213"/>
    <w:rsid w:val="78502E06"/>
    <w:rsid w:val="79060C93"/>
    <w:rsid w:val="79A05440"/>
    <w:rsid w:val="79C52A65"/>
    <w:rsid w:val="7A070B19"/>
    <w:rsid w:val="7C2C4361"/>
    <w:rsid w:val="7E2F6618"/>
    <w:rsid w:val="7F107C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style>
  <w:style w:type="paragraph" w:styleId="3">
    <w:name w:val="Body Text Indent"/>
    <w:basedOn w:val="1"/>
    <w:link w:val="9"/>
    <w:qFormat/>
    <w:uiPriority w:val="99"/>
    <w:pPr>
      <w:ind w:firstLine="640" w:firstLineChars="2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locked/>
    <w:uiPriority w:val="99"/>
    <w:rPr>
      <w:rFonts w:cs="Times New Roman"/>
    </w:rPr>
  </w:style>
  <w:style w:type="character" w:customStyle="1" w:styleId="9">
    <w:name w:val="正文文本缩进 Char"/>
    <w:basedOn w:val="7"/>
    <w:link w:val="3"/>
    <w:semiHidden/>
    <w:qFormat/>
    <w:locked/>
    <w:uiPriority w:val="99"/>
    <w:rPr>
      <w:rFonts w:ascii="Calibri" w:hAnsi="Calibri" w:cs="Times New Roman"/>
      <w:sz w:val="24"/>
      <w:szCs w:val="24"/>
    </w:rPr>
  </w:style>
  <w:style w:type="character" w:customStyle="1" w:styleId="10">
    <w:name w:val="页脚 Char"/>
    <w:basedOn w:val="7"/>
    <w:link w:val="4"/>
    <w:semiHidden/>
    <w:qFormat/>
    <w:locked/>
    <w:uiPriority w:val="99"/>
    <w:rPr>
      <w:rFonts w:ascii="Calibri" w:hAnsi="Calibri" w:cs="Times New Roman"/>
      <w:sz w:val="18"/>
      <w:szCs w:val="18"/>
    </w:rPr>
  </w:style>
  <w:style w:type="character" w:customStyle="1" w:styleId="11">
    <w:name w:val="页眉 Char"/>
    <w:basedOn w:val="7"/>
    <w:link w:val="5"/>
    <w:semiHidden/>
    <w:qFormat/>
    <w:locked/>
    <w:uiPriority w:val="99"/>
    <w:rPr>
      <w:rFonts w:ascii="Calibri" w:hAnsi="Calibri" w:cs="Times New Roman"/>
      <w:sz w:val="18"/>
      <w:szCs w:val="18"/>
    </w:rPr>
  </w:style>
  <w:style w:type="character" w:customStyle="1" w:styleId="12">
    <w:name w:val="font31"/>
    <w:basedOn w:val="7"/>
    <w:qFormat/>
    <w:uiPriority w:val="99"/>
    <w:rPr>
      <w:rFonts w:ascii="Arial" w:hAnsi="Arial" w:cs="Arial"/>
      <w:color w:val="000000"/>
      <w:sz w:val="16"/>
      <w:szCs w:val="16"/>
      <w:u w:val="none"/>
    </w:rPr>
  </w:style>
  <w:style w:type="character" w:customStyle="1" w:styleId="13">
    <w:name w:val="font01"/>
    <w:basedOn w:val="7"/>
    <w:qFormat/>
    <w:uiPriority w:val="99"/>
    <w:rPr>
      <w:rFonts w:ascii="Arial" w:hAnsi="Arial" w:cs="Arial"/>
      <w:color w:val="000000"/>
      <w:sz w:val="16"/>
      <w:szCs w:val="16"/>
      <w:u w:val="none"/>
    </w:rPr>
  </w:style>
  <w:style w:type="character" w:customStyle="1" w:styleId="14">
    <w:name w:val="font41"/>
    <w:basedOn w:val="7"/>
    <w:qFormat/>
    <w:uiPriority w:val="99"/>
    <w:rPr>
      <w:rFonts w:ascii="宋体" w:hAnsi="宋体" w:eastAsia="宋体" w:cs="宋体"/>
      <w:color w:val="000000"/>
      <w:sz w:val="16"/>
      <w:szCs w:val="16"/>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0C40B-D407-486B-8543-11CD9CCECD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1792</Words>
  <Characters>10218</Characters>
  <Lines>85</Lines>
  <Paragraphs>23</Paragraphs>
  <TotalTime>2</TotalTime>
  <ScaleCrop>false</ScaleCrop>
  <LinksUpToDate>false</LinksUpToDate>
  <CharactersWithSpaces>11987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Garfield</cp:lastModifiedBy>
  <cp:lastPrinted>2017-07-25T02:47:00Z</cp:lastPrinted>
  <dcterms:modified xsi:type="dcterms:W3CDTF">2021-12-06T01:31:41Z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62E0D1D91D174A7180A7F5ACA409A9DD</vt:lpwstr>
  </property>
</Properties>
</file>