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_GB2312"/>
          <w:b/>
          <w:sz w:val="44"/>
          <w:szCs w:val="44"/>
        </w:rPr>
      </w:pPr>
      <w:r>
        <w:rPr>
          <w:rFonts w:hint="eastAsia" w:ascii="仿宋" w:hAnsi="仿宋" w:eastAsia="仿宋" w:cs="隶书"/>
          <w:b/>
          <w:sz w:val="52"/>
          <w:szCs w:val="52"/>
        </w:rPr>
        <w:t>中共河南省信阳市浉河区委政法委员会</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21年度部门预算公开情况</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中共河南省信阳市浉河区委政法委员会概况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部门预算单位构成及机构设置</w:t>
      </w:r>
    </w:p>
    <w:p>
      <w:pPr>
        <w:jc w:val="left"/>
        <w:rPr>
          <w:rFonts w:ascii="仿宋" w:hAnsi="仿宋" w:eastAsia="仿宋" w:cs="黑体"/>
          <w:sz w:val="32"/>
          <w:szCs w:val="32"/>
        </w:rPr>
      </w:pPr>
      <w:r>
        <w:rPr>
          <w:rFonts w:hint="eastAsia" w:ascii="仿宋" w:hAnsi="仿宋" w:eastAsia="仿宋" w:cs="黑体"/>
          <w:sz w:val="32"/>
          <w:szCs w:val="32"/>
        </w:rPr>
        <w:t>第二部分　　中共河南省信阳市浉河区委政法委员会</w:t>
      </w:r>
      <w:r>
        <w:rPr>
          <w:rFonts w:ascii="仿宋" w:hAnsi="仿宋" w:eastAsia="仿宋" w:cs="黑体"/>
          <w:sz w:val="32"/>
          <w:szCs w:val="32"/>
        </w:rPr>
        <w:t>20</w:t>
      </w:r>
      <w:r>
        <w:rPr>
          <w:rFonts w:hint="eastAsia" w:ascii="仿宋" w:hAnsi="仿宋" w:eastAsia="仿宋" w:cs="黑体"/>
          <w:sz w:val="32"/>
          <w:szCs w:val="32"/>
        </w:rPr>
        <w:t>21年度部门预算情况说明</w:t>
      </w:r>
    </w:p>
    <w:p>
      <w:pPr>
        <w:jc w:val="left"/>
        <w:rPr>
          <w:rFonts w:ascii="仿宋" w:hAnsi="仿宋" w:eastAsia="仿宋" w:cs="黑体"/>
          <w:sz w:val="32"/>
          <w:szCs w:val="32"/>
        </w:rPr>
      </w:pPr>
      <w:r>
        <w:rPr>
          <w:rFonts w:hint="eastAsia" w:ascii="仿宋" w:hAnsi="仿宋" w:eastAsia="仿宋" w:cs="黑体"/>
          <w:sz w:val="32"/>
          <w:szCs w:val="32"/>
        </w:rPr>
        <w:t>第三部分　　名词解释</w:t>
      </w:r>
    </w:p>
    <w:p>
      <w:pPr>
        <w:jc w:val="left"/>
        <w:rPr>
          <w:rFonts w:ascii="仿宋" w:hAnsi="仿宋" w:eastAsia="仿宋" w:cs="黑体"/>
          <w:sz w:val="32"/>
          <w:szCs w:val="32"/>
        </w:rPr>
      </w:pPr>
      <w:r>
        <w:rPr>
          <w:rFonts w:hint="eastAsia" w:ascii="仿宋" w:hAnsi="仿宋" w:eastAsia="仿宋" w:cs="黑体"/>
          <w:sz w:val="32"/>
          <w:szCs w:val="32"/>
        </w:rPr>
        <w:t>附    件　　中共河南省信阳市浉河区委政法委员会</w:t>
      </w:r>
      <w:r>
        <w:rPr>
          <w:rFonts w:ascii="仿宋" w:hAnsi="仿宋" w:eastAsia="仿宋" w:cs="黑体"/>
          <w:sz w:val="32"/>
          <w:szCs w:val="32"/>
        </w:rPr>
        <w:t>20</w:t>
      </w:r>
      <w:r>
        <w:rPr>
          <w:rFonts w:hint="eastAsia" w:ascii="仿宋" w:hAnsi="仿宋" w:eastAsia="仿宋" w:cs="黑体"/>
          <w:sz w:val="32"/>
          <w:szCs w:val="32"/>
        </w:rPr>
        <w:t>21年度部门预算表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hint="eastAsia" w:ascii="仿宋" w:hAnsi="仿宋" w:eastAsia="仿宋" w:cs="宋体"/>
          <w:sz w:val="32"/>
          <w:szCs w:val="32"/>
        </w:rPr>
      </w:pPr>
      <w:r>
        <w:rPr>
          <w:rFonts w:hint="eastAsia" w:ascii="仿宋" w:hAnsi="仿宋" w:eastAsia="仿宋" w:cs="宋体"/>
          <w:sz w:val="32"/>
          <w:szCs w:val="32"/>
        </w:rPr>
        <w:t>八、政府性基金预算财政拨款收入支出预算表</w:t>
      </w:r>
    </w:p>
    <w:p>
      <w:pPr>
        <w:jc w:val="left"/>
        <w:rPr>
          <w:rFonts w:hint="eastAsia" w:ascii="仿宋" w:hAnsi="仿宋" w:eastAsia="仿宋" w:cs="仿宋"/>
          <w:sz w:val="32"/>
          <w:szCs w:val="32"/>
          <w:lang w:eastAsia="zh-CN"/>
        </w:rPr>
      </w:pPr>
      <w:r>
        <w:rPr>
          <w:rFonts w:hint="eastAsia" w:ascii="仿宋" w:hAnsi="仿宋" w:eastAsia="仿宋" w:cs="宋体"/>
          <w:sz w:val="32"/>
          <w:szCs w:val="32"/>
          <w:lang w:eastAsia="zh-CN"/>
        </w:rPr>
        <w:t>九、</w:t>
      </w:r>
      <w:r>
        <w:rPr>
          <w:rFonts w:hint="eastAsia" w:ascii="仿宋" w:hAnsi="仿宋" w:eastAsia="仿宋" w:cs="仿宋"/>
          <w:sz w:val="32"/>
          <w:szCs w:val="32"/>
          <w:lang w:eastAsia="zh-CN"/>
        </w:rPr>
        <w:t>部门（单位）整体绩效目标表</w:t>
      </w:r>
    </w:p>
    <w:p>
      <w:pPr>
        <w:pStyle w:val="2"/>
        <w:widowControl w:val="0"/>
        <w:numPr>
          <w:ilvl w:val="0"/>
          <w:numId w:val="0"/>
        </w:numPr>
        <w:jc w:val="both"/>
        <w:rPr>
          <w:rFonts w:hint="eastAsia" w:ascii="仿宋" w:hAnsi="仿宋" w:eastAsia="仿宋" w:cs="仿宋"/>
          <w:sz w:val="32"/>
          <w:szCs w:val="32"/>
          <w:lang w:eastAsia="zh-CN"/>
        </w:rPr>
        <w:sectPr>
          <w:footerReference r:id="rId6" w:type="default"/>
          <w:pgSz w:w="11906" w:h="16838"/>
          <w:pgMar w:top="1440" w:right="1800" w:bottom="1440" w:left="1800" w:header="851" w:footer="992" w:gutter="0"/>
          <w:pgNumType w:fmt="numberInDash"/>
          <w:cols w:space="720" w:num="1"/>
          <w:docGrid w:type="lines" w:linePitch="312" w:charSpace="0"/>
        </w:sectPr>
      </w:pPr>
      <w:bookmarkStart w:id="0" w:name="_GoBack"/>
      <w:bookmarkEnd w:id="0"/>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部门预算项目绩效目标表</w:t>
      </w:r>
    </w:p>
    <w:p>
      <w:pPr>
        <w:jc w:val="left"/>
        <w:rPr>
          <w:rFonts w:hint="eastAsia" w:ascii="仿宋" w:hAnsi="仿宋" w:eastAsia="仿宋" w:cs="宋体"/>
          <w:sz w:val="32"/>
          <w:szCs w:val="32"/>
        </w:rPr>
        <w:sectPr>
          <w:footerReference r:id="rId7" w:type="default"/>
          <w:pgSz w:w="11906" w:h="16838"/>
          <w:pgMar w:top="1440" w:right="1800" w:bottom="1440" w:left="1800" w:header="851" w:footer="992" w:gutter="0"/>
          <w:pgNumType w:fmt="numberInDash"/>
          <w:cols w:space="425" w:num="1"/>
          <w:docGrid w:type="lines" w:linePitch="312" w:charSpace="0"/>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b/>
          <w:sz w:val="48"/>
          <w:szCs w:val="48"/>
        </w:rPr>
      </w:pPr>
      <w:r>
        <w:rPr>
          <w:rFonts w:hint="eastAsia" w:ascii="仿宋" w:hAnsi="仿宋" w:eastAsia="仿宋" w:cs="隶书"/>
          <w:b/>
          <w:sz w:val="48"/>
          <w:szCs w:val="48"/>
        </w:rPr>
        <w:t>第一部分　　中共河南省信阳市浉河区委政法委员会概况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8"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ind w:firstLine="161" w:firstLineChars="50"/>
        <w:rPr>
          <w:rFonts w:ascii="仿宋" w:hAnsi="仿宋" w:eastAsia="仿宋"/>
          <w:b/>
          <w:sz w:val="32"/>
          <w:szCs w:val="32"/>
        </w:rPr>
      </w:pPr>
      <w:r>
        <w:rPr>
          <w:rFonts w:hint="eastAsia" w:ascii="仿宋" w:hAnsi="仿宋" w:eastAsia="仿宋"/>
          <w:b/>
          <w:sz w:val="32"/>
          <w:szCs w:val="32"/>
        </w:rPr>
        <w:t>部门基本情况：</w:t>
      </w:r>
    </w:p>
    <w:p>
      <w:pPr>
        <w:ind w:firstLine="160" w:firstLineChars="50"/>
        <w:rPr>
          <w:rFonts w:ascii="仿宋" w:hAnsi="仿宋" w:eastAsia="仿宋"/>
          <w:sz w:val="32"/>
          <w:szCs w:val="32"/>
        </w:rPr>
      </w:pPr>
      <w:r>
        <w:rPr>
          <w:rFonts w:hint="eastAsia" w:ascii="仿宋" w:hAnsi="仿宋" w:eastAsia="仿宋"/>
          <w:sz w:val="32"/>
          <w:szCs w:val="32"/>
        </w:rPr>
        <w:t>一、部门机构设置、职能</w:t>
      </w:r>
    </w:p>
    <w:p>
      <w:pPr>
        <w:rPr>
          <w:rFonts w:ascii="仿宋" w:hAnsi="仿宋" w:eastAsia="仿宋"/>
          <w:sz w:val="32"/>
          <w:szCs w:val="32"/>
        </w:rPr>
      </w:pPr>
      <w:r>
        <w:rPr>
          <w:rFonts w:hint="eastAsia" w:ascii="仿宋" w:hAnsi="仿宋" w:eastAsia="仿宋"/>
          <w:sz w:val="32"/>
          <w:szCs w:val="32"/>
        </w:rPr>
        <w:t>单位机关内设</w:t>
      </w:r>
      <w:r>
        <w:rPr>
          <w:rFonts w:ascii="仿宋" w:hAnsi="仿宋" w:eastAsia="仿宋"/>
          <w:sz w:val="32"/>
          <w:szCs w:val="32"/>
        </w:rPr>
        <w:t>9</w:t>
      </w:r>
      <w:r>
        <w:rPr>
          <w:rFonts w:hint="eastAsia" w:ascii="仿宋" w:hAnsi="仿宋" w:eastAsia="仿宋"/>
          <w:sz w:val="32"/>
          <w:szCs w:val="32"/>
        </w:rPr>
        <w:t>个职能科室。主要职责是：</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根据党的路线、方针、政策和区委的部署，研究制定贯彻落实的具体措施，统一政法各部门的思想和行动；</w:t>
      </w:r>
    </w:p>
    <w:p>
      <w:pPr>
        <w:rPr>
          <w:rFonts w:ascii="仿宋" w:hAnsi="仿宋" w:eastAsia="仿宋"/>
          <w:sz w:val="32"/>
          <w:szCs w:val="32"/>
        </w:rPr>
      </w:pPr>
      <w:r>
        <w:rPr>
          <w:rFonts w:hint="eastAsia" w:ascii="仿宋" w:hAnsi="仿宋" w:eastAsia="仿宋"/>
          <w:sz w:val="32"/>
          <w:szCs w:val="32"/>
        </w:rPr>
        <w:t>（二）组织、指导维护社会稳定工作，掌握和分析社会稳定情况，协调处理群体性事件。</w:t>
      </w:r>
    </w:p>
    <w:p>
      <w:pPr>
        <w:rPr>
          <w:rFonts w:ascii="仿宋" w:hAnsi="仿宋" w:eastAsia="仿宋"/>
          <w:sz w:val="32"/>
          <w:szCs w:val="32"/>
        </w:rPr>
      </w:pPr>
      <w:r>
        <w:rPr>
          <w:rFonts w:hint="eastAsia" w:ascii="仿宋" w:hAnsi="仿宋" w:eastAsia="仿宋"/>
          <w:sz w:val="32"/>
          <w:szCs w:val="32"/>
        </w:rPr>
        <w:t>（三）检查政法部门公正廉洁执法的情况，结合实际，研究制定促进公正廉洁执法的具体办法。</w:t>
      </w:r>
    </w:p>
    <w:p>
      <w:pPr>
        <w:rPr>
          <w:rFonts w:ascii="仿宋" w:hAnsi="仿宋" w:eastAsia="仿宋"/>
          <w:sz w:val="32"/>
          <w:szCs w:val="32"/>
        </w:rPr>
      </w:pPr>
      <w:r>
        <w:rPr>
          <w:rFonts w:hint="eastAsia" w:ascii="仿宋" w:hAnsi="仿宋" w:eastAsia="仿宋"/>
          <w:sz w:val="32"/>
          <w:szCs w:val="32"/>
        </w:rPr>
        <w:t>（四）大力支持和严格监督政法各部门依法行使职权，指导和协调政法各部门在依法相互制约的同时密切配合，督促大案要案的查处工作。</w:t>
      </w:r>
    </w:p>
    <w:p>
      <w:pPr>
        <w:rPr>
          <w:rFonts w:ascii="仿宋" w:hAnsi="仿宋" w:eastAsia="仿宋"/>
          <w:sz w:val="32"/>
          <w:szCs w:val="32"/>
        </w:rPr>
      </w:pPr>
      <w:r>
        <w:rPr>
          <w:rFonts w:hint="eastAsia" w:ascii="仿宋" w:hAnsi="仿宋" w:eastAsia="仿宋"/>
          <w:sz w:val="32"/>
          <w:szCs w:val="32"/>
        </w:rPr>
        <w:t>（五）组织、协调社会治安综合治理工作，落实平安建设措施，推进社会管理创新，营造安定的社会环境。</w:t>
      </w:r>
    </w:p>
    <w:p>
      <w:pPr>
        <w:rPr>
          <w:rFonts w:ascii="仿宋" w:hAnsi="仿宋" w:eastAsia="仿宋"/>
          <w:sz w:val="32"/>
          <w:szCs w:val="32"/>
        </w:rPr>
      </w:pPr>
      <w:r>
        <w:rPr>
          <w:rFonts w:hint="eastAsia" w:ascii="仿宋" w:hAnsi="仿宋" w:eastAsia="仿宋"/>
          <w:sz w:val="32"/>
          <w:szCs w:val="32"/>
        </w:rPr>
        <w:t>（六）组织构建大调解工作体系，排查化解矛盾隐患，指导、协调、推动政法部门做好涉法涉诉信访工作。</w:t>
      </w:r>
    </w:p>
    <w:p>
      <w:pPr>
        <w:rPr>
          <w:rFonts w:ascii="仿宋" w:hAnsi="仿宋" w:eastAsia="仿宋"/>
          <w:sz w:val="32"/>
          <w:szCs w:val="32"/>
        </w:rPr>
      </w:pPr>
      <w:r>
        <w:rPr>
          <w:rFonts w:hint="eastAsia" w:ascii="仿宋" w:hAnsi="仿宋" w:eastAsia="仿宋"/>
          <w:sz w:val="32"/>
          <w:szCs w:val="32"/>
        </w:rPr>
        <w:t>（七）研究加强政法队伍建设和领导班子建设的措施，协助区委及其组织部门考察、管理政法部门的领导干部。</w:t>
      </w:r>
    </w:p>
    <w:p>
      <w:pPr>
        <w:rPr>
          <w:rFonts w:ascii="仿宋" w:hAnsi="仿宋" w:eastAsia="仿宋"/>
          <w:sz w:val="32"/>
          <w:szCs w:val="32"/>
        </w:rPr>
      </w:pPr>
      <w:r>
        <w:rPr>
          <w:rFonts w:hint="eastAsia" w:ascii="仿宋" w:hAnsi="仿宋" w:eastAsia="仿宋"/>
          <w:sz w:val="32"/>
          <w:szCs w:val="32"/>
        </w:rPr>
        <w:t>（八）组织、推动政法部门开展党风廉政建设，协助纪检部门查处违纪违法行为。</w:t>
      </w:r>
    </w:p>
    <w:p>
      <w:pPr>
        <w:rPr>
          <w:rFonts w:ascii="仿宋" w:hAnsi="仿宋" w:eastAsia="仿宋"/>
          <w:sz w:val="32"/>
          <w:szCs w:val="32"/>
        </w:rPr>
      </w:pPr>
      <w:r>
        <w:rPr>
          <w:rFonts w:hint="eastAsia" w:ascii="仿宋" w:hAnsi="仿宋" w:eastAsia="仿宋"/>
          <w:sz w:val="32"/>
          <w:szCs w:val="32"/>
        </w:rPr>
        <w:t>（九）研究分析涉及政法工作的舆论情况和影响社会稳定的舆情信息，指导、协调政法综治维稳宣传和舆论指导工作。</w:t>
      </w:r>
    </w:p>
    <w:p>
      <w:pPr>
        <w:rPr>
          <w:rFonts w:ascii="仿宋" w:hAnsi="仿宋" w:eastAsia="仿宋"/>
          <w:sz w:val="32"/>
          <w:szCs w:val="32"/>
        </w:rPr>
      </w:pPr>
      <w:r>
        <w:rPr>
          <w:rFonts w:hint="eastAsia" w:ascii="仿宋" w:hAnsi="仿宋" w:eastAsia="仿宋"/>
          <w:sz w:val="32"/>
          <w:szCs w:val="32"/>
        </w:rPr>
        <w:t>（十）及时向区委反映政法工作的重大情况，办理区委和上级政法委员会交办的其他事项。</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、人员编制数共计13人。其中行政</w:t>
      </w:r>
      <w:r>
        <w:rPr>
          <w:rFonts w:ascii="仿宋" w:hAnsi="仿宋" w:eastAsia="仿宋"/>
          <w:sz w:val="32"/>
          <w:szCs w:val="32"/>
        </w:rPr>
        <w:t>1</w:t>
      </w:r>
      <w:r>
        <w:rPr>
          <w:rFonts w:hint="eastAsia" w:ascii="仿宋" w:hAnsi="仿宋" w:eastAsia="仿宋"/>
          <w:sz w:val="32"/>
          <w:szCs w:val="32"/>
        </w:rPr>
        <w:t>1人，事业2人。实有在职人员数23人。其中行政21人，事业2人，退休4人。</w:t>
      </w:r>
    </w:p>
    <w:p>
      <w:pPr>
        <w:spacing w:line="360" w:lineRule="auto"/>
        <w:jc w:val="left"/>
        <w:outlineLvl w:val="1"/>
        <w:rPr>
          <w:rFonts w:ascii="仿宋" w:hAnsi="仿宋" w:eastAsia="仿宋" w:cs="黑体"/>
          <w:sz w:val="32"/>
          <w:szCs w:val="32"/>
        </w:rPr>
      </w:pPr>
      <w:r>
        <w:rPr>
          <w:rFonts w:hint="eastAsia" w:ascii="仿宋" w:hAnsi="仿宋" w:eastAsia="仿宋" w:cs="黑体"/>
          <w:sz w:val="32"/>
          <w:szCs w:val="32"/>
        </w:rPr>
        <w:t>三、部门预算单位构成及机构设置</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1、纳入中共河南省信阳市浉河区委政法委员会</w:t>
      </w:r>
      <w:r>
        <w:rPr>
          <w:rFonts w:ascii="仿宋" w:hAnsi="仿宋" w:eastAsia="仿宋" w:cs="??_GB2312"/>
          <w:sz w:val="32"/>
          <w:szCs w:val="32"/>
        </w:rPr>
        <w:t>20</w:t>
      </w:r>
      <w:r>
        <w:rPr>
          <w:rFonts w:hint="eastAsia" w:ascii="仿宋" w:hAnsi="仿宋" w:eastAsia="仿宋" w:cs="??_GB2312"/>
          <w:sz w:val="32"/>
          <w:szCs w:val="32"/>
        </w:rPr>
        <w:t>21</w:t>
      </w:r>
      <w:r>
        <w:rPr>
          <w:rFonts w:hint="eastAsia" w:ascii="仿宋" w:hAnsi="仿宋" w:eastAsia="仿宋" w:cs="宋体"/>
          <w:sz w:val="32"/>
          <w:szCs w:val="32"/>
        </w:rPr>
        <w:t>年度部门预算编制范围的单位包括：中共河南省信阳市浉河区委政法委员会本级,无二级归口预算单位。</w:t>
      </w:r>
    </w:p>
    <w:p>
      <w:pPr>
        <w:spacing w:line="360" w:lineRule="auto"/>
        <w:ind w:firstLine="640" w:firstLineChars="200"/>
        <w:jc w:val="left"/>
        <w:rPr>
          <w:rFonts w:ascii="宋体" w:hAnsi="宋体" w:cs="宋体"/>
          <w:sz w:val="32"/>
          <w:szCs w:val="32"/>
        </w:rPr>
      </w:pPr>
      <w:r>
        <w:rPr>
          <w:rFonts w:hint="eastAsia" w:ascii="仿宋_GB2312" w:hAnsi="仿宋_GB2312" w:eastAsia="仿宋_GB2312" w:cs="仿宋_GB2312"/>
          <w:sz w:val="32"/>
          <w:szCs w:val="32"/>
        </w:rPr>
        <w:t>2、</w:t>
      </w:r>
      <w:r>
        <w:rPr>
          <w:rFonts w:hint="eastAsia" w:ascii="宋体" w:hAnsi="宋体" w:cs="宋体"/>
          <w:sz w:val="32"/>
          <w:szCs w:val="32"/>
        </w:rPr>
        <w:t>机构设置</w:t>
      </w:r>
    </w:p>
    <w:p>
      <w:pPr>
        <w:spacing w:line="360" w:lineRule="auto"/>
        <w:ind w:firstLine="640" w:firstLineChars="200"/>
        <w:jc w:val="left"/>
        <w:rPr>
          <w:rFonts w:ascii="仿宋_GB2312" w:hAnsi="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r>
        <w:rPr>
          <w:rFonts w:hint="eastAsia" w:ascii="宋体" w:hAnsi="宋体" w:cs="宋体"/>
          <w:sz w:val="32"/>
          <w:szCs w:val="32"/>
        </w:rPr>
        <w:t>中共河南省信阳市浉河区委政法委员会内设9科室，主要有综治办、防范办、维稳办、法学会、政治部、督查室、纪工委、办公室、队建室</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第二部分</w:t>
      </w:r>
    </w:p>
    <w:p>
      <w:pPr>
        <w:jc w:val="center"/>
        <w:rPr>
          <w:rFonts w:ascii="仿宋" w:hAnsi="仿宋" w:eastAsia="仿宋" w:cs="隶书"/>
          <w:sz w:val="48"/>
          <w:szCs w:val="48"/>
        </w:rPr>
      </w:pPr>
      <w:r>
        <w:rPr>
          <w:rFonts w:hint="eastAsia" w:ascii="仿宋" w:hAnsi="仿宋" w:eastAsia="仿宋" w:cs="隶书"/>
          <w:sz w:val="48"/>
          <w:szCs w:val="48"/>
        </w:rPr>
        <w:t>中共河南省信阳市浉河区委政法委员会</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21年度部门预算情况说明</w:t>
      </w:r>
    </w:p>
    <w:p>
      <w:pPr>
        <w:adjustRightInd w:val="0"/>
        <w:snapToGrid w:val="0"/>
        <w:spacing w:line="360" w:lineRule="auto"/>
        <w:outlineLvl w:val="1"/>
        <w:rPr>
          <w:rFonts w:ascii="仿宋" w:hAnsi="仿宋" w:eastAsia="仿宋"/>
          <w:sz w:val="32"/>
          <w:szCs w:val="32"/>
        </w:rPr>
      </w:pPr>
      <w:r>
        <w:rPr>
          <w:rFonts w:hint="eastAsia" w:ascii="仿宋" w:hAnsi="仿宋" w:eastAsia="仿宋"/>
          <w:b/>
          <w:bCs/>
          <w:sz w:val="32"/>
          <w:szCs w:val="32"/>
        </w:rPr>
        <w:t>一、关于收入支出预算总体情况说明</w:t>
      </w:r>
    </w:p>
    <w:p>
      <w:pPr>
        <w:adjustRightInd w:val="0"/>
        <w:snapToGrid w:val="0"/>
        <w:spacing w:line="360" w:lineRule="auto"/>
        <w:ind w:firstLine="640" w:firstLineChars="200"/>
        <w:rPr>
          <w:rFonts w:ascii="仿宋" w:hAnsi="仿宋" w:eastAsia="仿宋" w:cs="Courier New"/>
          <w:sz w:val="36"/>
          <w:szCs w:val="36"/>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年度收入总入711.7</w:t>
      </w:r>
      <w:r>
        <w:rPr>
          <w:rFonts w:hint="eastAsia" w:ascii="仿宋" w:hAnsi="仿宋" w:eastAsia="仿宋" w:cs="Courier New"/>
          <w:sz w:val="32"/>
          <w:szCs w:val="32"/>
        </w:rPr>
        <w:t>万元，支出总计711.7万元，与2020年相比，收入增加9.2万元，支出增加9.2万元</w:t>
      </w:r>
      <w:r>
        <w:rPr>
          <w:rFonts w:hint="eastAsia" w:ascii="仿宋" w:hAnsi="仿宋" w:eastAsia="仿宋" w:cs="宋体"/>
          <w:sz w:val="32"/>
          <w:szCs w:val="32"/>
        </w:rPr>
        <w:t>。</w:t>
      </w:r>
      <w:r>
        <w:rPr>
          <w:rFonts w:hint="eastAsia" w:ascii="仿宋" w:hAnsi="仿宋" w:eastAsia="仿宋" w:cs="Courier New"/>
          <w:sz w:val="32"/>
          <w:szCs w:val="32"/>
        </w:rPr>
        <w:t>因机构改革，人员经费增加。</w:t>
      </w:r>
    </w:p>
    <w:p>
      <w:pPr>
        <w:adjustRightInd w:val="0"/>
        <w:snapToGrid w:val="0"/>
        <w:spacing w:line="360" w:lineRule="auto"/>
        <w:outlineLvl w:val="1"/>
        <w:rPr>
          <w:rFonts w:ascii="仿宋" w:hAnsi="仿宋" w:eastAsia="仿宋"/>
          <w:sz w:val="32"/>
          <w:szCs w:val="32"/>
        </w:rPr>
      </w:pPr>
      <w:r>
        <w:rPr>
          <w:rFonts w:hint="eastAsia" w:ascii="黑体" w:hAnsi="黑体" w:eastAsia="黑体"/>
          <w:sz w:val="32"/>
          <w:szCs w:val="32"/>
        </w:rPr>
        <w:t>二、收入预算情况说明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年度收入总计711.7万元，财政拨款收入711.7万元，占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w:t>
      </w:r>
      <w:r>
        <w:rPr>
          <w:rFonts w:hint="eastAsia" w:ascii="仿宋" w:hAnsi="仿宋" w:eastAsia="仿宋" w:cs="宋体"/>
          <w:sz w:val="32"/>
          <w:szCs w:val="32"/>
        </w:rPr>
        <w:t>。与</w:t>
      </w: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年相比，收入</w:t>
      </w:r>
      <w:r>
        <w:rPr>
          <w:rFonts w:hint="eastAsia" w:ascii="仿宋" w:hAnsi="仿宋" w:eastAsia="仿宋" w:cs="Courier New"/>
          <w:sz w:val="32"/>
          <w:szCs w:val="32"/>
        </w:rPr>
        <w:t>增加9.2</w:t>
      </w:r>
      <w:r>
        <w:rPr>
          <w:rFonts w:hint="eastAsia" w:ascii="仿宋" w:hAnsi="仿宋" w:eastAsia="仿宋" w:cs="宋体"/>
          <w:sz w:val="32"/>
          <w:szCs w:val="32"/>
        </w:rPr>
        <w:t>万元，上升</w:t>
      </w:r>
      <w:r>
        <w:rPr>
          <w:rFonts w:hint="eastAsia" w:ascii="仿宋" w:hAnsi="仿宋" w:eastAsia="仿宋" w:cs="Courier New"/>
          <w:sz w:val="32"/>
          <w:szCs w:val="32"/>
        </w:rPr>
        <w:t>1.3</w:t>
      </w:r>
      <w:r>
        <w:rPr>
          <w:rFonts w:ascii="仿宋" w:hAnsi="仿宋" w:eastAsia="仿宋" w:cs="Courier New"/>
          <w:sz w:val="32"/>
          <w:szCs w:val="32"/>
        </w:rPr>
        <w:t>%</w:t>
      </w:r>
      <w:r>
        <w:rPr>
          <w:rFonts w:hint="eastAsia" w:ascii="仿宋" w:hAnsi="仿宋" w:eastAsia="仿宋" w:cs="Courier New"/>
          <w:sz w:val="32"/>
          <w:szCs w:val="32"/>
        </w:rPr>
        <w:t>，因为人员经费增加。</w:t>
      </w:r>
    </w:p>
    <w:p>
      <w:pPr>
        <w:spacing w:line="360" w:lineRule="auto"/>
        <w:rPr>
          <w:rFonts w:ascii="黑体" w:hAnsi="黑体" w:eastAsia="黑体"/>
          <w:sz w:val="32"/>
          <w:szCs w:val="32"/>
        </w:rPr>
      </w:pPr>
      <w:r>
        <w:rPr>
          <w:rFonts w:hint="eastAsia" w:ascii="黑体" w:hAnsi="黑体" w:eastAsia="黑体"/>
          <w:sz w:val="32"/>
          <w:szCs w:val="32"/>
        </w:rPr>
        <w:t>三、支出预算情况说明</w:t>
      </w:r>
    </w:p>
    <w:p>
      <w:pPr>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年度支出合计711.7万元，其中：基本支出562万元，占78.7</w:t>
      </w:r>
      <w:r>
        <w:rPr>
          <w:rFonts w:ascii="仿宋" w:hAnsi="仿宋" w:eastAsia="仿宋" w:cs="Courier New"/>
          <w:sz w:val="32"/>
          <w:szCs w:val="32"/>
        </w:rPr>
        <w:t>%</w:t>
      </w:r>
      <w:r>
        <w:rPr>
          <w:rFonts w:hint="eastAsia" w:ascii="仿宋" w:hAnsi="仿宋" w:eastAsia="仿宋" w:cs="宋体"/>
          <w:sz w:val="32"/>
          <w:szCs w:val="32"/>
        </w:rPr>
        <w:t>；项目支出149.7万元，占21.3</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。与2020年相比，支出</w:t>
      </w:r>
      <w:r>
        <w:rPr>
          <w:rFonts w:hint="eastAsia" w:ascii="仿宋" w:hAnsi="仿宋" w:eastAsia="仿宋" w:cs="Courier New"/>
          <w:sz w:val="32"/>
          <w:szCs w:val="32"/>
        </w:rPr>
        <w:t>增加9.2</w:t>
      </w:r>
      <w:r>
        <w:rPr>
          <w:rFonts w:hint="eastAsia" w:ascii="仿宋" w:hAnsi="仿宋" w:eastAsia="仿宋" w:cs="宋体"/>
          <w:sz w:val="32"/>
          <w:szCs w:val="32"/>
        </w:rPr>
        <w:t>万元，增加1.3%，因为人员经费增加。</w:t>
      </w:r>
    </w:p>
    <w:p>
      <w:pPr>
        <w:adjustRightInd w:val="0"/>
        <w:snapToGrid w:val="0"/>
        <w:spacing w:line="360" w:lineRule="auto"/>
        <w:outlineLvl w:val="1"/>
        <w:rPr>
          <w:rFonts w:ascii="仿宋" w:hAnsi="仿宋" w:eastAsia="仿宋"/>
          <w:b/>
          <w:bCs/>
          <w:sz w:val="32"/>
          <w:szCs w:val="32"/>
        </w:rPr>
      </w:pPr>
      <w:r>
        <w:rPr>
          <w:rFonts w:hint="eastAsia" w:ascii="仿宋" w:hAnsi="仿宋" w:eastAsia="仿宋"/>
          <w:b/>
          <w:bCs/>
          <w:sz w:val="32"/>
          <w:szCs w:val="32"/>
        </w:rPr>
        <w:t>四、关于财政拨款收入支出预算总体情况说明</w:t>
      </w:r>
    </w:p>
    <w:p>
      <w:pPr>
        <w:adjustRightInd w:val="0"/>
        <w:snapToGrid w:val="0"/>
        <w:spacing w:line="360" w:lineRule="auto"/>
        <w:ind w:firstLine="640" w:firstLineChars="200"/>
        <w:rPr>
          <w:rFonts w:ascii="仿宋" w:hAnsi="仿宋" w:eastAsia="仿宋" w:cs="Courier New"/>
          <w:sz w:val="36"/>
          <w:szCs w:val="36"/>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年度收入总入711.7</w:t>
      </w:r>
      <w:r>
        <w:rPr>
          <w:rFonts w:hint="eastAsia" w:ascii="仿宋" w:hAnsi="仿宋" w:eastAsia="仿宋" w:cs="Courier New"/>
          <w:sz w:val="32"/>
          <w:szCs w:val="32"/>
        </w:rPr>
        <w:t>万元，支出总计711.7万元，与2020年相比，收入增加9.2万元，支出增加9.2万元</w:t>
      </w:r>
      <w:r>
        <w:rPr>
          <w:rFonts w:hint="eastAsia" w:ascii="仿宋" w:hAnsi="仿宋" w:eastAsia="仿宋" w:cs="宋体"/>
          <w:sz w:val="32"/>
          <w:szCs w:val="32"/>
        </w:rPr>
        <w:t>。</w:t>
      </w:r>
      <w:r>
        <w:rPr>
          <w:rFonts w:hint="eastAsia" w:ascii="仿宋" w:hAnsi="仿宋" w:eastAsia="仿宋" w:cs="Courier New"/>
          <w:sz w:val="32"/>
          <w:szCs w:val="32"/>
        </w:rPr>
        <w:t>因人员经费增加。</w:t>
      </w:r>
      <w:r>
        <w:rPr>
          <w:rFonts w:hint="eastAsia" w:ascii="仿宋" w:hAnsi="仿宋" w:eastAsia="仿宋" w:cs="宋体"/>
          <w:sz w:val="32"/>
          <w:szCs w:val="32"/>
        </w:rPr>
        <w:t>其中：基本支出562万元，占78.7</w:t>
      </w:r>
      <w:r>
        <w:rPr>
          <w:rFonts w:ascii="仿宋" w:hAnsi="仿宋" w:eastAsia="仿宋" w:cs="Courier New"/>
          <w:sz w:val="32"/>
          <w:szCs w:val="32"/>
        </w:rPr>
        <w:t>%</w:t>
      </w:r>
      <w:r>
        <w:rPr>
          <w:rFonts w:hint="eastAsia" w:ascii="仿宋" w:hAnsi="仿宋" w:eastAsia="仿宋" w:cs="宋体"/>
          <w:sz w:val="32"/>
          <w:szCs w:val="32"/>
        </w:rPr>
        <w:t>；项目支出149.7万元，占21.3</w:t>
      </w:r>
      <w:r>
        <w:rPr>
          <w:rFonts w:ascii="仿宋" w:hAnsi="仿宋" w:eastAsia="仿宋" w:cs="Courier New"/>
          <w:sz w:val="32"/>
          <w:szCs w:val="32"/>
        </w:rPr>
        <w:t>%</w:t>
      </w:r>
      <w:r>
        <w:rPr>
          <w:rFonts w:hint="eastAsia" w:ascii="仿宋" w:hAnsi="仿宋" w:eastAsia="仿宋" w:cs="Courier New"/>
          <w:sz w:val="32"/>
          <w:szCs w:val="32"/>
        </w:rPr>
        <w:t>。</w:t>
      </w:r>
    </w:p>
    <w:p>
      <w:pPr>
        <w:adjustRightInd w:val="0"/>
        <w:snapToGrid w:val="0"/>
        <w:spacing w:line="360" w:lineRule="auto"/>
        <w:outlineLvl w:val="1"/>
        <w:rPr>
          <w:rFonts w:ascii="仿宋" w:hAnsi="仿宋" w:eastAsia="仿宋"/>
          <w:sz w:val="32"/>
          <w:szCs w:val="32"/>
        </w:rPr>
      </w:pPr>
      <w:r>
        <w:rPr>
          <w:rFonts w:hint="eastAsia" w:ascii="仿宋" w:hAnsi="仿宋" w:eastAsia="仿宋"/>
          <w:b/>
          <w:bCs/>
          <w:sz w:val="32"/>
          <w:szCs w:val="32"/>
        </w:rPr>
        <w:t>五、</w:t>
      </w:r>
      <w:r>
        <w:rPr>
          <w:rFonts w:hint="eastAsia" w:ascii="仿宋" w:hAnsi="仿宋" w:eastAsia="仿宋" w:cs="宋体"/>
          <w:b/>
          <w:bCs/>
          <w:color w:val="000000"/>
          <w:kern w:val="0"/>
          <w:sz w:val="32"/>
          <w:szCs w:val="32"/>
        </w:rPr>
        <w:t>一般公共预算支出预</w:t>
      </w:r>
      <w:r>
        <w:rPr>
          <w:rFonts w:hint="eastAsia" w:ascii="仿宋" w:hAnsi="仿宋" w:eastAsia="仿宋"/>
          <w:b/>
          <w:bCs/>
          <w:sz w:val="32"/>
          <w:szCs w:val="32"/>
        </w:rPr>
        <w:t>算情况说明</w:t>
      </w:r>
    </w:p>
    <w:p>
      <w:pPr>
        <w:pStyle w:val="14"/>
        <w:adjustRightInd w:val="0"/>
        <w:snapToGrid w:val="0"/>
        <w:spacing w:line="360" w:lineRule="auto"/>
        <w:ind w:firstLine="0" w:firstLineChars="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w:t>
      </w:r>
      <w:r>
        <w:rPr>
          <w:rFonts w:hint="eastAsia" w:ascii="仿宋" w:hAnsi="仿宋" w:eastAsia="仿宋" w:cs="宋体"/>
          <w:bCs/>
          <w:color w:val="000000"/>
          <w:kern w:val="0"/>
          <w:sz w:val="32"/>
          <w:szCs w:val="32"/>
        </w:rPr>
        <w:t>一般公共预算支</w:t>
      </w:r>
      <w:r>
        <w:rPr>
          <w:rFonts w:hint="eastAsia" w:ascii="仿宋" w:hAnsi="仿宋" w:eastAsia="仿宋" w:cs="Courier New"/>
          <w:sz w:val="32"/>
          <w:szCs w:val="32"/>
        </w:rPr>
        <w:t>出711.7万元，占</w:t>
      </w:r>
      <w:r>
        <w:rPr>
          <w:rFonts w:hint="eastAsia" w:ascii="仿宋" w:hAnsi="仿宋" w:eastAsia="仿宋" w:cs="宋体"/>
          <w:bCs/>
          <w:sz w:val="32"/>
          <w:szCs w:val="32"/>
        </w:rPr>
        <w:t>支出合计的</w:t>
      </w:r>
      <w:r>
        <w:rPr>
          <w:rFonts w:ascii="仿宋" w:hAnsi="仿宋" w:eastAsia="仿宋" w:cs="Courier New"/>
          <w:bCs/>
          <w:sz w:val="32"/>
          <w:szCs w:val="32"/>
        </w:rPr>
        <w:t>100%</w:t>
      </w:r>
      <w:r>
        <w:rPr>
          <w:rFonts w:hint="eastAsia" w:ascii="仿宋" w:hAnsi="仿宋" w:eastAsia="仿宋" w:cs="宋体"/>
          <w:bCs/>
          <w:sz w:val="32"/>
          <w:szCs w:val="32"/>
        </w:rPr>
        <w:t>。与</w:t>
      </w:r>
      <w:r>
        <w:rPr>
          <w:rFonts w:ascii="仿宋" w:hAnsi="仿宋" w:eastAsia="仿宋" w:cs="Courier New"/>
          <w:bCs/>
          <w:sz w:val="32"/>
          <w:szCs w:val="32"/>
        </w:rPr>
        <w:t>20</w:t>
      </w:r>
      <w:r>
        <w:rPr>
          <w:rFonts w:hint="eastAsia" w:ascii="仿宋" w:hAnsi="仿宋" w:eastAsia="仿宋" w:cs="Courier New"/>
          <w:bCs/>
          <w:sz w:val="32"/>
          <w:szCs w:val="32"/>
        </w:rPr>
        <w:t>20</w:t>
      </w:r>
      <w:r>
        <w:rPr>
          <w:rFonts w:hint="eastAsia" w:ascii="仿宋" w:hAnsi="仿宋" w:eastAsia="仿宋" w:cs="宋体"/>
          <w:bCs/>
          <w:sz w:val="32"/>
          <w:szCs w:val="32"/>
        </w:rPr>
        <w:t>年相比，</w:t>
      </w:r>
      <w:r>
        <w:rPr>
          <w:rFonts w:hint="eastAsia" w:ascii="仿宋" w:hAnsi="仿宋" w:eastAsia="仿宋" w:cs="宋体"/>
          <w:bCs/>
          <w:color w:val="000000"/>
          <w:kern w:val="0"/>
          <w:sz w:val="32"/>
          <w:szCs w:val="32"/>
        </w:rPr>
        <w:t>一般公共性服务支出等</w:t>
      </w:r>
      <w:r>
        <w:rPr>
          <w:rFonts w:hint="eastAsia" w:ascii="仿宋" w:hAnsi="仿宋" w:eastAsia="仿宋" w:cs="宋体"/>
          <w:sz w:val="32"/>
          <w:szCs w:val="32"/>
        </w:rPr>
        <w:t>收</w:t>
      </w:r>
      <w:r>
        <w:rPr>
          <w:rFonts w:hint="eastAsia" w:ascii="仿宋" w:hAnsi="仿宋" w:eastAsia="仿宋" w:cs="宋体"/>
          <w:bCs/>
          <w:sz w:val="32"/>
          <w:szCs w:val="32"/>
        </w:rPr>
        <w:t>入</w:t>
      </w:r>
      <w:r>
        <w:rPr>
          <w:rFonts w:hint="eastAsia" w:ascii="仿宋" w:hAnsi="仿宋" w:eastAsia="仿宋" w:cs="Courier New"/>
          <w:sz w:val="32"/>
          <w:szCs w:val="32"/>
        </w:rPr>
        <w:t>增加9.2</w:t>
      </w:r>
      <w:r>
        <w:rPr>
          <w:rFonts w:hint="eastAsia" w:ascii="仿宋" w:hAnsi="仿宋" w:eastAsia="仿宋" w:cs="宋体"/>
          <w:sz w:val="32"/>
          <w:szCs w:val="32"/>
        </w:rPr>
        <w:t>万元。</w:t>
      </w:r>
      <w:r>
        <w:rPr>
          <w:rFonts w:hint="eastAsia" w:ascii="仿宋" w:hAnsi="仿宋" w:eastAsia="仿宋" w:cs="Courier New"/>
          <w:sz w:val="32"/>
          <w:szCs w:val="32"/>
        </w:rPr>
        <w:t>人员经费增加，其中基本支出562万元，占预算支出78.7%；项目支出149.7万元，占预算支出21.3%。</w:t>
      </w:r>
    </w:p>
    <w:p>
      <w:pPr>
        <w:numPr>
          <w:ilvl w:val="0"/>
          <w:numId w:val="2"/>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一般公共预算基本支出预算情况说明</w:t>
      </w:r>
    </w:p>
    <w:p>
      <w:pPr>
        <w:ind w:firstLine="660"/>
        <w:rPr>
          <w:rFonts w:ascii="仿宋" w:hAnsi="仿宋" w:eastAsia="仿宋" w:cs="宋体"/>
          <w:bCs/>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年度一般公共预算基本支出</w:t>
      </w:r>
      <w:r>
        <w:rPr>
          <w:rFonts w:hint="eastAsia" w:ascii="仿宋" w:hAnsi="仿宋" w:eastAsia="仿宋" w:cs="宋体"/>
          <w:bCs/>
          <w:color w:val="000000"/>
          <w:kern w:val="0"/>
          <w:sz w:val="32"/>
          <w:szCs w:val="32"/>
        </w:rPr>
        <w:t>562</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人员经费529.4万元</w:t>
      </w:r>
      <w:r>
        <w:rPr>
          <w:rFonts w:hint="eastAsia" w:ascii="仿宋" w:hAnsi="仿宋" w:eastAsia="仿宋" w:cs="宋体"/>
          <w:bCs/>
          <w:sz w:val="32"/>
          <w:szCs w:val="32"/>
        </w:rPr>
        <w:t>，主要包括：基本工资、津贴补贴、奖金、社会保障缴费、伙食补助费、绩效工资、其他工资福利支出。商品和服务支出32.6万元，主要包括：办公费、印刷费、咨询费、手续费、水费、电费、邮电费、取暖费、物业管理费、差旅费、因公出国（境）费、维 修（护）费、租赁费、会议费、培训费、公务接待费、专用材料费、劳务费、委托业务费、工会经费、福利费、公务用车运行维护费、其他交通费用、其他商品和服务支出，办公设备购置、大型修缮、信息网络及软件购置更新。</w:t>
      </w:r>
    </w:p>
    <w:p>
      <w:pPr>
        <w:adjustRightInd w:val="0"/>
        <w:snapToGrid w:val="0"/>
        <w:spacing w:line="360" w:lineRule="auto"/>
        <w:outlineLvl w:val="1"/>
        <w:rPr>
          <w:rFonts w:ascii="宋体" w:hAnsi="宋体" w:cs="宋体"/>
          <w:b/>
          <w:bCs/>
          <w:sz w:val="32"/>
          <w:szCs w:val="32"/>
        </w:rPr>
      </w:pPr>
      <w:r>
        <w:rPr>
          <w:rFonts w:hint="eastAsia" w:ascii="宋体" w:hAnsi="宋体" w:cs="宋体"/>
          <w:b/>
          <w:bCs/>
          <w:sz w:val="32"/>
          <w:szCs w:val="32"/>
        </w:rPr>
        <w:t>七、关于“三公”经费支出预算情况说明</w:t>
      </w:r>
    </w:p>
    <w:p>
      <w:pPr>
        <w:kinsoku w:val="0"/>
        <w:overflowPunct w:val="0"/>
        <w:autoSpaceDE w:val="0"/>
        <w:autoSpaceDN w:val="0"/>
        <w:adjustRightInd w:val="0"/>
        <w:snapToGrid w:val="0"/>
        <w:spacing w:line="360" w:lineRule="auto"/>
        <w:rPr>
          <w:rFonts w:ascii="仿宋" w:hAnsi="仿宋" w:eastAsia="仿宋" w:cs="楷体_GB2312"/>
          <w:sz w:val="32"/>
          <w:szCs w:val="32"/>
        </w:rPr>
      </w:pPr>
      <w:r>
        <w:rPr>
          <w:rFonts w:hint="eastAsia" w:ascii="仿宋" w:hAnsi="仿宋" w:eastAsia="仿宋" w:cs="楷体_GB2312"/>
          <w:sz w:val="32"/>
          <w:szCs w:val="32"/>
        </w:rPr>
        <w:t>（一）“三公”经费财政拨款支出预算总体情况说明。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经费财政拨款支出预算为13.5万元，其中：因公出国（境）费支出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算为3.5万元；公务接待费支出</w:t>
      </w:r>
      <w:r>
        <w:rPr>
          <w:rFonts w:hint="eastAsia" w:ascii="仿宋" w:hAnsi="仿宋" w:eastAsia="仿宋" w:cs="Courier New"/>
          <w:sz w:val="32"/>
          <w:szCs w:val="32"/>
        </w:rPr>
        <w:t>预</w:t>
      </w:r>
      <w:r>
        <w:rPr>
          <w:rFonts w:hint="eastAsia" w:ascii="仿宋" w:hAnsi="仿宋" w:eastAsia="仿宋" w:cs="宋体"/>
          <w:sz w:val="32"/>
          <w:szCs w:val="32"/>
        </w:rPr>
        <w:t>算为10万元，与去年相比，下降</w:t>
      </w:r>
      <w:r>
        <w:rPr>
          <w:rFonts w:hint="eastAsia" w:ascii="仿宋" w:hAnsi="仿宋" w:eastAsia="仿宋" w:cs="Courier New"/>
          <w:sz w:val="32"/>
          <w:szCs w:val="32"/>
        </w:rPr>
        <w:t>7</w:t>
      </w:r>
      <w:r>
        <w:rPr>
          <w:rFonts w:ascii="仿宋" w:hAnsi="仿宋" w:eastAsia="仿宋" w:cs="Courier New"/>
          <w:sz w:val="32"/>
          <w:szCs w:val="32"/>
        </w:rPr>
        <w:t>%</w:t>
      </w:r>
      <w:r>
        <w:rPr>
          <w:rFonts w:hint="eastAsia" w:ascii="仿宋" w:hAnsi="仿宋" w:eastAsia="仿宋" w:cs="Courier New"/>
          <w:sz w:val="32"/>
          <w:szCs w:val="32"/>
        </w:rPr>
        <w:t>，</w:t>
      </w:r>
      <w:r>
        <w:rPr>
          <w:rFonts w:hint="eastAsia" w:ascii="仿宋" w:hAnsi="仿宋" w:eastAsia="仿宋" w:cs="宋体"/>
          <w:sz w:val="32"/>
          <w:szCs w:val="32"/>
        </w:rPr>
        <w:t>减少的主要原因是：</w:t>
      </w: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年单位严格执行公务用车改革制度，</w:t>
      </w:r>
      <w:r>
        <w:rPr>
          <w:rFonts w:hint="eastAsia" w:ascii="仿宋" w:hAnsi="仿宋" w:eastAsia="仿宋" w:cs="Courier New"/>
          <w:b/>
          <w:bCs/>
          <w:sz w:val="32"/>
          <w:szCs w:val="32"/>
        </w:rPr>
        <w:t>仅</w:t>
      </w:r>
      <w:r>
        <w:rPr>
          <w:rFonts w:hint="eastAsia" w:ascii="仿宋" w:hAnsi="仿宋" w:eastAsia="仿宋" w:cs="宋体"/>
          <w:b/>
          <w:bCs/>
          <w:sz w:val="32"/>
          <w:szCs w:val="32"/>
        </w:rPr>
        <w:t>一辆</w:t>
      </w:r>
      <w:r>
        <w:rPr>
          <w:rFonts w:hint="eastAsia" w:ascii="仿宋" w:hAnsi="仿宋" w:eastAsia="仿宋" w:cs="Courier New"/>
          <w:b/>
          <w:bCs/>
          <w:sz w:val="32"/>
          <w:szCs w:val="32"/>
        </w:rPr>
        <w:t>书记公务用车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w:t>
      </w:r>
    </w:p>
    <w:p>
      <w:pPr>
        <w:kinsoku w:val="0"/>
        <w:overflowPunct w:val="0"/>
        <w:autoSpaceDE w:val="0"/>
        <w:autoSpaceDN w:val="0"/>
        <w:adjustRightInd w:val="0"/>
        <w:snapToGrid w:val="0"/>
        <w:spacing w:line="360" w:lineRule="auto"/>
        <w:rPr>
          <w:rFonts w:ascii="仿宋" w:hAnsi="仿宋" w:eastAsia="仿宋" w:cs="楷体_GB2312"/>
          <w:sz w:val="32"/>
          <w:szCs w:val="32"/>
        </w:rPr>
      </w:pPr>
      <w:r>
        <w:rPr>
          <w:rFonts w:hint="eastAsia" w:ascii="仿宋" w:hAnsi="仿宋" w:eastAsia="仿宋" w:cs="楷体_GB2312"/>
          <w:sz w:val="32"/>
          <w:szCs w:val="32"/>
        </w:rPr>
        <w:t>（二）“三公”经费财政拨款支出预算具体情况说明。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；公务用车购置预算0万元，车辆运行费支出</w:t>
      </w:r>
      <w:r>
        <w:rPr>
          <w:rFonts w:hint="eastAsia" w:ascii="仿宋" w:hAnsi="仿宋" w:eastAsia="仿宋" w:cs="Courier New"/>
          <w:sz w:val="32"/>
          <w:szCs w:val="32"/>
        </w:rPr>
        <w:t>预</w:t>
      </w:r>
      <w:r>
        <w:rPr>
          <w:rFonts w:hint="eastAsia" w:ascii="仿宋" w:hAnsi="仿宋" w:eastAsia="仿宋" w:cs="宋体"/>
          <w:sz w:val="32"/>
          <w:szCs w:val="32"/>
        </w:rPr>
        <w:t>算3.5万元，占26%；公务接待费支出</w:t>
      </w:r>
      <w:r>
        <w:rPr>
          <w:rFonts w:hint="eastAsia" w:ascii="仿宋" w:hAnsi="仿宋" w:eastAsia="仿宋" w:cs="Courier New"/>
          <w:sz w:val="32"/>
          <w:szCs w:val="32"/>
        </w:rPr>
        <w:t>预</w:t>
      </w:r>
      <w:r>
        <w:rPr>
          <w:rFonts w:hint="eastAsia" w:ascii="仿宋" w:hAnsi="仿宋" w:eastAsia="仿宋" w:cs="宋体"/>
          <w:sz w:val="32"/>
          <w:szCs w:val="32"/>
        </w:rPr>
        <w:t>算10万元</w:t>
      </w:r>
      <w:r>
        <w:rPr>
          <w:rFonts w:hint="eastAsia" w:ascii="仿宋" w:hAnsi="仿宋" w:eastAsia="仿宋" w:cs="Courier New"/>
          <w:sz w:val="32"/>
          <w:szCs w:val="32"/>
        </w:rPr>
        <w:t>，占74%；</w:t>
      </w:r>
      <w:r>
        <w:rPr>
          <w:rFonts w:hint="eastAsia" w:ascii="仿宋" w:hAnsi="仿宋" w:eastAsia="仿宋" w:cs="宋体"/>
          <w:sz w:val="32"/>
          <w:szCs w:val="32"/>
        </w:rPr>
        <w:t>具体情况如下：</w:t>
      </w:r>
    </w:p>
    <w:p>
      <w:pPr>
        <w:kinsoku w:val="0"/>
        <w:overflowPunct w:val="0"/>
        <w:autoSpaceDE w:val="0"/>
        <w:autoSpaceDN w:val="0"/>
        <w:adjustRightInd w:val="0"/>
        <w:snapToGrid w:val="0"/>
        <w:spacing w:line="360" w:lineRule="auto"/>
        <w:ind w:left="420" w:leftChars="200"/>
        <w:rPr>
          <w:rFonts w:ascii="仿宋" w:hAnsi="仿宋" w:eastAsia="仿宋" w:cs="Courier New"/>
          <w:b/>
          <w:bCs/>
          <w:sz w:val="32"/>
          <w:szCs w:val="32"/>
        </w:rPr>
      </w:pPr>
      <w:r>
        <w:rPr>
          <w:rFonts w:hint="eastAsia" w:ascii="仿宋" w:hAnsi="仿宋" w:eastAsia="仿宋" w:cs="宋体"/>
          <w:b/>
          <w:bCs/>
          <w:sz w:val="32"/>
          <w:szCs w:val="32"/>
        </w:rPr>
        <w:t>1、因公出国（境）费</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ascii="仿宋" w:hAnsi="仿宋" w:eastAsia="仿宋" w:cs="Courier New"/>
          <w:sz w:val="32"/>
          <w:szCs w:val="32"/>
        </w:rPr>
        <w:t>0</w:t>
      </w:r>
      <w:r>
        <w:rPr>
          <w:rFonts w:hint="eastAsia" w:ascii="仿宋" w:hAnsi="仿宋" w:eastAsia="仿宋" w:cs="宋体"/>
          <w:sz w:val="32"/>
          <w:szCs w:val="32"/>
        </w:rPr>
        <w:t>个，累计</w:t>
      </w:r>
      <w:r>
        <w:rPr>
          <w:rFonts w:ascii="仿宋" w:hAnsi="仿宋" w:eastAsia="仿宋" w:cs="Courier New"/>
          <w:sz w:val="32"/>
          <w:szCs w:val="32"/>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hint="eastAsia" w:ascii="仿宋" w:hAnsi="仿宋" w:eastAsia="仿宋" w:cs="宋体"/>
          <w:sz w:val="32"/>
          <w:szCs w:val="32"/>
        </w:rPr>
        <w:t>支出支出</w:t>
      </w:r>
      <w:r>
        <w:rPr>
          <w:rFonts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kinsoku w:val="0"/>
        <w:overflowPunct w:val="0"/>
        <w:autoSpaceDE w:val="0"/>
        <w:autoSpaceDN w:val="0"/>
        <w:adjustRightInd w:val="0"/>
        <w:snapToGrid w:val="0"/>
        <w:spacing w:line="360" w:lineRule="auto"/>
        <w:ind w:left="420" w:leftChars="200"/>
        <w:rPr>
          <w:rFonts w:ascii="仿宋" w:hAnsi="仿宋" w:eastAsia="仿宋" w:cs="Courier New"/>
          <w:b/>
          <w:bCs/>
          <w:sz w:val="32"/>
          <w:szCs w:val="32"/>
        </w:rPr>
      </w:pPr>
      <w:r>
        <w:rPr>
          <w:rFonts w:hint="eastAsia" w:ascii="仿宋" w:hAnsi="仿宋" w:eastAsia="仿宋"/>
          <w:b/>
          <w:bCs/>
          <w:sz w:val="32"/>
          <w:szCs w:val="32"/>
        </w:rPr>
        <w:t>2、公务</w:t>
      </w:r>
      <w:r>
        <w:rPr>
          <w:rFonts w:hint="eastAsia" w:ascii="仿宋" w:hAnsi="仿宋" w:eastAsia="仿宋" w:cs="宋体"/>
          <w:b/>
          <w:bCs/>
          <w:sz w:val="32"/>
          <w:szCs w:val="32"/>
        </w:rPr>
        <w:t>用车购置及运行费</w:t>
      </w:r>
      <w:r>
        <w:rPr>
          <w:rFonts w:hint="eastAsia" w:ascii="仿宋" w:hAnsi="仿宋" w:eastAsia="仿宋" w:cs="宋体"/>
          <w:sz w:val="32"/>
          <w:szCs w:val="32"/>
        </w:rPr>
        <w:t>支出3.5万元。其中：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ascii="仿宋" w:hAnsi="仿宋" w:eastAsia="仿宋" w:cs="Courier New"/>
          <w:sz w:val="32"/>
          <w:szCs w:val="32"/>
        </w:rPr>
        <w:t>0</w:t>
      </w:r>
      <w:r>
        <w:rPr>
          <w:rFonts w:hint="eastAsia" w:ascii="仿宋" w:hAnsi="仿宋" w:eastAsia="仿宋" w:cs="宋体"/>
          <w:sz w:val="32"/>
          <w:szCs w:val="32"/>
        </w:rPr>
        <w:t>万元。（公务用车购置支出为</w:t>
      </w:r>
      <w:r>
        <w:rPr>
          <w:rFonts w:ascii="仿宋" w:hAnsi="仿宋" w:eastAsia="仿宋" w:cs="Courier New"/>
          <w:sz w:val="32"/>
          <w:szCs w:val="32"/>
        </w:rPr>
        <w:t>0</w:t>
      </w:r>
      <w:r>
        <w:rPr>
          <w:rFonts w:hint="eastAsia" w:ascii="仿宋" w:hAnsi="仿宋" w:eastAsia="仿宋" w:cs="宋体"/>
          <w:sz w:val="32"/>
          <w:szCs w:val="32"/>
        </w:rPr>
        <w:t>。）</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支出3.5万元。</w:t>
      </w:r>
      <w:r>
        <w:rPr>
          <w:rFonts w:hint="eastAsia" w:ascii="仿宋" w:hAnsi="仿宋" w:eastAsia="仿宋" w:cs="Courier New"/>
          <w:sz w:val="32"/>
          <w:szCs w:val="32"/>
        </w:rPr>
        <w:t>现有公务用车平台借用一辆，</w:t>
      </w:r>
      <w:r>
        <w:rPr>
          <w:rFonts w:hint="eastAsia" w:ascii="仿宋" w:hAnsi="仿宋" w:eastAsia="仿宋" w:cs="宋体"/>
          <w:sz w:val="32"/>
          <w:szCs w:val="32"/>
        </w:rPr>
        <w:t>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维修和加油费。与去年相比，下降</w:t>
      </w:r>
      <w:r>
        <w:rPr>
          <w:rFonts w:hint="eastAsia" w:ascii="仿宋" w:hAnsi="仿宋" w:eastAsia="仿宋" w:cs="Courier New"/>
          <w:sz w:val="32"/>
          <w:szCs w:val="32"/>
        </w:rPr>
        <w:t>7</w:t>
      </w:r>
      <w:r>
        <w:rPr>
          <w:rFonts w:ascii="仿宋" w:hAnsi="仿宋" w:eastAsia="仿宋" w:cs="Courier New"/>
          <w:sz w:val="32"/>
          <w:szCs w:val="32"/>
        </w:rPr>
        <w:t>%</w:t>
      </w:r>
      <w:r>
        <w:rPr>
          <w:rFonts w:hint="eastAsia" w:ascii="仿宋" w:hAnsi="仿宋" w:eastAsia="仿宋" w:cs="Courier New"/>
          <w:sz w:val="32"/>
          <w:szCs w:val="32"/>
        </w:rPr>
        <w:t>，</w:t>
      </w:r>
      <w:r>
        <w:rPr>
          <w:rFonts w:hint="eastAsia" w:ascii="仿宋" w:hAnsi="仿宋" w:eastAsia="仿宋" w:cs="宋体"/>
          <w:sz w:val="32"/>
          <w:szCs w:val="32"/>
        </w:rPr>
        <w:t>减少的主要原因是：</w:t>
      </w: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年单位严格执行公务用车改革制度，</w:t>
      </w:r>
      <w:r>
        <w:rPr>
          <w:rFonts w:hint="eastAsia" w:ascii="仿宋" w:hAnsi="仿宋" w:eastAsia="仿宋" w:cs="Courier New"/>
          <w:b/>
          <w:bCs/>
          <w:sz w:val="32"/>
          <w:szCs w:val="32"/>
        </w:rPr>
        <w:t>仅</w:t>
      </w:r>
      <w:r>
        <w:rPr>
          <w:rFonts w:hint="eastAsia" w:ascii="仿宋" w:hAnsi="仿宋" w:eastAsia="仿宋" w:cs="宋体"/>
          <w:b/>
          <w:bCs/>
          <w:sz w:val="32"/>
          <w:szCs w:val="32"/>
        </w:rPr>
        <w:t>一辆</w:t>
      </w:r>
      <w:r>
        <w:rPr>
          <w:rFonts w:hint="eastAsia" w:ascii="仿宋" w:hAnsi="仿宋" w:eastAsia="仿宋" w:cs="Courier New"/>
          <w:b/>
          <w:bCs/>
          <w:sz w:val="32"/>
          <w:szCs w:val="32"/>
        </w:rPr>
        <w:t>书记公务用车</w:t>
      </w:r>
      <w:r>
        <w:rPr>
          <w:rFonts w:hint="eastAsia" w:ascii="仿宋" w:hAnsi="仿宋" w:eastAsia="仿宋" w:cs="宋体"/>
          <w:sz w:val="32"/>
          <w:szCs w:val="32"/>
        </w:rPr>
        <w:t>，包含车辆</w:t>
      </w:r>
      <w:r>
        <w:rPr>
          <w:rFonts w:hint="eastAsia" w:ascii="仿宋" w:hAnsi="仿宋" w:eastAsia="仿宋" w:cs="Courier New"/>
          <w:sz w:val="32"/>
          <w:szCs w:val="32"/>
        </w:rPr>
        <w:t>保险、</w:t>
      </w:r>
      <w:r>
        <w:rPr>
          <w:rFonts w:hint="eastAsia" w:ascii="仿宋" w:hAnsi="仿宋" w:eastAsia="仿宋" w:cs="宋体"/>
          <w:sz w:val="32"/>
          <w:szCs w:val="32"/>
        </w:rPr>
        <w:t>维修费和加油费。</w:t>
      </w:r>
    </w:p>
    <w:p>
      <w:pPr>
        <w:kinsoku w:val="0"/>
        <w:overflowPunct w:val="0"/>
        <w:autoSpaceDE w:val="0"/>
        <w:autoSpaceDN w:val="0"/>
        <w:adjustRightInd w:val="0"/>
        <w:snapToGrid w:val="0"/>
        <w:spacing w:line="360" w:lineRule="auto"/>
        <w:ind w:left="420" w:leftChars="200"/>
        <w:rPr>
          <w:rFonts w:ascii="仿宋" w:hAnsi="仿宋" w:eastAsia="仿宋" w:cs="Courier New"/>
          <w:sz w:val="32"/>
          <w:szCs w:val="32"/>
        </w:rPr>
      </w:pPr>
      <w:r>
        <w:rPr>
          <w:rFonts w:hint="eastAsia" w:ascii="仿宋" w:hAnsi="仿宋" w:eastAsia="仿宋" w:cs="宋体"/>
          <w:b/>
          <w:bCs/>
          <w:sz w:val="32"/>
          <w:szCs w:val="32"/>
        </w:rPr>
        <w:t>3.公务接待费</w:t>
      </w:r>
      <w:r>
        <w:rPr>
          <w:rFonts w:hint="eastAsia" w:ascii="仿宋" w:hAnsi="仿宋" w:eastAsia="仿宋" w:cs="宋体"/>
          <w:sz w:val="32"/>
          <w:szCs w:val="32"/>
        </w:rPr>
        <w:t>支出10万元。其中：主要用于中共河南省信阳市浉河区委政法委员会日常的公务接待。与2020年持平。</w:t>
      </w:r>
    </w:p>
    <w:p>
      <w:pPr>
        <w:adjustRightInd w:val="0"/>
        <w:snapToGrid w:val="0"/>
        <w:spacing w:line="360" w:lineRule="auto"/>
        <w:ind w:firstLine="643" w:firstLineChars="200"/>
        <w:outlineLvl w:val="1"/>
        <w:rPr>
          <w:rFonts w:ascii="宋体" w:hAnsi="宋体" w:cs="宋体"/>
          <w:b/>
          <w:bCs/>
          <w:sz w:val="32"/>
          <w:szCs w:val="32"/>
        </w:rPr>
      </w:pPr>
      <w:r>
        <w:rPr>
          <w:rFonts w:hint="eastAsia" w:ascii="宋体" w:hAnsi="宋体" w:cs="宋体"/>
          <w:b/>
          <w:bCs/>
          <w:sz w:val="32"/>
          <w:szCs w:val="32"/>
        </w:rPr>
        <w:t>八、关于政府性基金预算财政拨款支出预算情况说明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3" w:firstLineChars="200"/>
        <w:outlineLvl w:val="1"/>
        <w:rPr>
          <w:rFonts w:ascii="宋体" w:hAnsi="宋体" w:cs="宋体"/>
          <w:b/>
          <w:bCs/>
          <w:sz w:val="32"/>
          <w:szCs w:val="32"/>
        </w:rPr>
      </w:pPr>
      <w:r>
        <w:rPr>
          <w:rFonts w:hint="eastAsia" w:ascii="宋体" w:hAnsi="宋体" w:cs="宋体"/>
          <w:b/>
          <w:bCs/>
          <w:sz w:val="32"/>
          <w:szCs w:val="32"/>
        </w:rPr>
        <w:t>九、其他重要事项的情况说明</w:t>
      </w:r>
    </w:p>
    <w:p>
      <w:p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（一）政府采购支出情况。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总额0万元，其中：政府采购货物预算0万元、政府采购工程预算0万元、政府采购服务预算0万元，</w:t>
      </w:r>
      <w:r>
        <w:rPr>
          <w:rFonts w:hint="eastAsia" w:ascii="仿宋" w:hAnsi="仿宋" w:eastAsia="仿宋" w:cs="Courier New"/>
          <w:sz w:val="32"/>
          <w:szCs w:val="32"/>
        </w:rPr>
        <w:t>用于采购巡防队服装及办公电脑。</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rPr>
        <w:t>21</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Courier New"/>
          <w:sz w:val="32"/>
          <w:szCs w:val="32"/>
        </w:rPr>
        <w:t>32.6</w:t>
      </w:r>
      <w:r>
        <w:rPr>
          <w:rFonts w:hint="eastAsia" w:ascii="仿宋" w:hAnsi="仿宋" w:eastAsia="仿宋" w:cs="宋体"/>
          <w:sz w:val="32"/>
          <w:szCs w:val="32"/>
        </w:rPr>
        <w:t>万元，与2020年相比减少2.1万元减少原因是疫情情况，经费开支减少。</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关于预算绩效管理工作开展情况说明</w:t>
      </w:r>
    </w:p>
    <w:p>
      <w:pPr>
        <w:kinsoku w:val="0"/>
        <w:overflowPunct w:val="0"/>
        <w:autoSpaceDE w:val="0"/>
        <w:autoSpaceDN w:val="0"/>
        <w:adjustRightInd w:val="0"/>
        <w:snapToGrid w:val="0"/>
        <w:spacing w:line="360" w:lineRule="auto"/>
        <w:ind w:left="420" w:leftChars="200" w:firstLine="320" w:firstLineChars="100"/>
        <w:rPr>
          <w:rFonts w:ascii="仿宋" w:hAnsi="仿宋" w:eastAsia="仿宋" w:cs="Courier New"/>
          <w:sz w:val="32"/>
          <w:szCs w:val="32"/>
        </w:rPr>
      </w:pPr>
      <w:r>
        <w:rPr>
          <w:rFonts w:hint="eastAsia" w:ascii="仿宋" w:hAnsi="仿宋" w:eastAsia="仿宋" w:cs="Courier New"/>
          <w:sz w:val="32"/>
          <w:szCs w:val="32"/>
        </w:rPr>
        <w:t>中共河南省信阳市浉河区委政法委员会重点项目，开展项目预算绩效考评详见表格。</w:t>
      </w:r>
    </w:p>
    <w:p>
      <w:pPr>
        <w:numPr>
          <w:ilvl w:val="0"/>
          <w:numId w:val="3"/>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Courier New"/>
          <w:b/>
          <w:bCs/>
          <w:sz w:val="32"/>
          <w:szCs w:val="32"/>
        </w:rPr>
        <w:t>国有资产占用情况</w:t>
      </w:r>
    </w:p>
    <w:p>
      <w:pPr>
        <w:kinsoku w:val="0"/>
        <w:overflowPunct w:val="0"/>
        <w:autoSpaceDE w:val="0"/>
        <w:autoSpaceDN w:val="0"/>
        <w:adjustRightInd w:val="0"/>
        <w:snapToGrid w:val="0"/>
        <w:spacing w:line="360" w:lineRule="auto"/>
        <w:ind w:left="420" w:leftChars="200"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20</w:t>
      </w:r>
      <w:r>
        <w:rPr>
          <w:rFonts w:hint="eastAsia" w:ascii="仿宋" w:hAnsi="仿宋" w:eastAsia="仿宋" w:cs="宋体"/>
          <w:sz w:val="32"/>
          <w:szCs w:val="32"/>
        </w:rPr>
        <w:t>年末，中共河南省信阳市浉河区委政法委员会共有车辆1辆，其中：一般公务用车1辆、一般执法执勤用车0辆、特种专业技术用车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hint="eastAsia" w:ascii="仿宋" w:hAnsi="仿宋" w:eastAsia="仿宋" w:cs="Courier New"/>
          <w:sz w:val="32"/>
          <w:szCs w:val="32"/>
        </w:rPr>
        <w:t>办公用房机关事务局统一管理，无其他国有资产。</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ind w:firstLine="1440" w:firstLineChars="300"/>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第三部分　　名词解释</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事业单位经营收入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hint="eastAsia" w:ascii="仿宋" w:hAnsi="仿宋" w:eastAsia="仿宋" w:cs="Courier New"/>
          <w:sz w:val="32"/>
          <w:szCs w:val="32"/>
        </w:rPr>
        <w:t>“</w:t>
      </w:r>
      <w:r>
        <w:rPr>
          <w:rFonts w:hint="eastAsia" w:ascii="仿宋" w:hAnsi="仿宋" w:eastAsia="仿宋" w:cs="宋体"/>
          <w:sz w:val="32"/>
          <w:szCs w:val="32"/>
        </w:rPr>
        <w:t>财政拨款收入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事业收入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经营收入</w:t>
      </w:r>
      <w:r>
        <w:rPr>
          <w:rFonts w:hint="eastAsia" w:ascii="仿宋" w:hAnsi="仿宋" w:eastAsia="仿宋" w:cs="Courier New"/>
          <w:sz w:val="32"/>
          <w:szCs w:val="32"/>
        </w:rPr>
        <w:t>”</w:t>
      </w:r>
      <w:r>
        <w:rPr>
          <w:rFonts w:hint="eastAsia" w:ascii="仿宋" w:hAnsi="仿宋" w:eastAsia="仿宋" w:cs="宋体"/>
          <w:sz w:val="32"/>
          <w:szCs w:val="32"/>
        </w:rPr>
        <w:t>、</w:t>
      </w:r>
      <w:r>
        <w:rPr>
          <w:rFonts w:hint="eastAsia" w:ascii="仿宋" w:hAnsi="仿宋" w:eastAsia="仿宋" w:cs="Courier New"/>
          <w:sz w:val="32"/>
          <w:szCs w:val="32"/>
        </w:rPr>
        <w:t>“</w:t>
      </w:r>
      <w:r>
        <w:rPr>
          <w:rFonts w:hint="eastAsia" w:ascii="仿宋" w:hAnsi="仿宋" w:eastAsia="仿宋" w:cs="宋体"/>
          <w:sz w:val="32"/>
          <w:szCs w:val="32"/>
        </w:rPr>
        <w:t>其他收入</w:t>
      </w:r>
      <w:r>
        <w:rPr>
          <w:rFonts w:hint="eastAsia"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b/>
          <w:bCs/>
          <w:sz w:val="32"/>
          <w:szCs w:val="32"/>
        </w:rPr>
        <w:t>“</w:t>
      </w:r>
      <w:r>
        <w:rPr>
          <w:rFonts w:hint="eastAsia" w:ascii="仿宋" w:hAnsi="仿宋" w:eastAsia="仿宋" w:cs="宋体"/>
          <w:b/>
          <w:bCs/>
          <w:sz w:val="32"/>
          <w:szCs w:val="32"/>
        </w:rPr>
        <w:t>三公</w:t>
      </w:r>
      <w:r>
        <w:rPr>
          <w:rFonts w:hint="eastAsia"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hint="eastAsia" w:ascii="仿宋" w:hAnsi="仿宋" w:eastAsia="仿宋" w:cs="Courier New"/>
          <w:sz w:val="32"/>
          <w:szCs w:val="32"/>
        </w:rPr>
        <w:t>“</w:t>
      </w:r>
      <w:r>
        <w:rPr>
          <w:rFonts w:hint="eastAsia" w:ascii="仿宋" w:hAnsi="仿宋" w:eastAsia="仿宋" w:cs="宋体"/>
          <w:sz w:val="32"/>
          <w:szCs w:val="32"/>
        </w:rPr>
        <w:t>三公</w:t>
      </w:r>
      <w:r>
        <w:rPr>
          <w:rFonts w:hint="eastAsia"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adjustRightInd w:val="0"/>
        <w:snapToGrid w:val="0"/>
        <w:spacing w:line="360" w:lineRule="auto"/>
        <w:outlineLvl w:val="1"/>
        <w:rPr>
          <w:rFonts w:ascii="仿宋" w:hAnsi="仿宋" w:eastAsia="仿宋"/>
          <w:sz w:val="32"/>
          <w:szCs w:val="32"/>
        </w:rPr>
      </w:pPr>
    </w:p>
    <w:p>
      <w:pPr>
        <w:adjustRightInd w:val="0"/>
        <w:snapToGrid w:val="0"/>
        <w:spacing w:line="360" w:lineRule="auto"/>
        <w:outlineLvl w:val="1"/>
        <w:rPr>
          <w:rFonts w:ascii="仿宋" w:hAnsi="仿宋" w:eastAsia="仿宋"/>
          <w:sz w:val="32"/>
          <w:szCs w:val="32"/>
        </w:rPr>
      </w:pPr>
    </w:p>
    <w:p>
      <w:pPr>
        <w:adjustRightInd w:val="0"/>
        <w:snapToGrid w:val="0"/>
        <w:spacing w:line="360" w:lineRule="auto"/>
        <w:outlineLvl w:val="1"/>
        <w:rPr>
          <w:rFonts w:ascii="仿宋" w:hAnsi="仿宋" w:eastAsia="仿宋"/>
          <w:sz w:val="32"/>
          <w:szCs w:val="32"/>
        </w:rPr>
      </w:pPr>
    </w:p>
    <w:p>
      <w:pPr>
        <w:adjustRightInd w:val="0"/>
        <w:snapToGrid w:val="0"/>
        <w:spacing w:line="360" w:lineRule="auto"/>
        <w:outlineLvl w:val="1"/>
        <w:rPr>
          <w:rFonts w:ascii="仿宋" w:hAnsi="仿宋" w:eastAsia="仿宋"/>
          <w:sz w:val="32"/>
          <w:szCs w:val="32"/>
        </w:rPr>
      </w:pPr>
    </w:p>
    <w:p>
      <w:pPr>
        <w:adjustRightInd w:val="0"/>
        <w:snapToGrid w:val="0"/>
        <w:spacing w:line="360" w:lineRule="auto"/>
        <w:outlineLvl w:val="1"/>
        <w:rPr>
          <w:rFonts w:ascii="仿宋" w:hAnsi="仿宋" w:eastAsia="仿宋"/>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kinsoku w:val="0"/>
        <w:overflowPunct w:val="0"/>
        <w:autoSpaceDE w:val="0"/>
        <w:autoSpaceDN w:val="0"/>
        <w:adjustRightInd w:val="0"/>
        <w:snapToGrid w:val="0"/>
        <w:spacing w:line="360" w:lineRule="auto"/>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pPr>
    </w:p>
    <w:p>
      <w:pPr>
        <w:ind w:firstLine="960" w:firstLineChars="200"/>
        <w:outlineLvl w:val="0"/>
        <w:rPr>
          <w:rFonts w:ascii="仿宋" w:hAnsi="仿宋" w:eastAsia="仿宋" w:cs="隶书"/>
          <w:sz w:val="48"/>
          <w:szCs w:val="48"/>
        </w:rPr>
      </w:pPr>
    </w:p>
    <w:p>
      <w:pP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p>
    <w:p>
      <w:pPr>
        <w:kinsoku w:val="0"/>
        <w:overflowPunct w:val="0"/>
        <w:autoSpaceDE w:val="0"/>
        <w:autoSpaceDN w:val="0"/>
        <w:adjustRightInd w:val="0"/>
        <w:snapToGrid w:val="0"/>
        <w:spacing w:line="360" w:lineRule="auto"/>
        <w:rPr>
          <w:rFonts w:ascii="仿宋" w:hAnsi="仿宋" w:eastAsia="仿宋" w:cs="Courier New"/>
          <w:b/>
          <w:bCs/>
          <w:sz w:val="32"/>
          <w:szCs w:val="32"/>
        </w:rPr>
      </w:pP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- 8 -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08"/>
    <w:multiLevelType w:val="singleLevel"/>
    <w:tmpl w:val="A2803108"/>
    <w:lvl w:ilvl="0" w:tentative="0">
      <w:start w:val="2"/>
      <w:numFmt w:val="chineseCounting"/>
      <w:suff w:val="nothing"/>
      <w:lvlText w:val="（%1）"/>
      <w:lvlJc w:val="left"/>
      <w:rPr>
        <w:rFonts w:hint="eastAsia"/>
      </w:rPr>
    </w:lvl>
  </w:abstractNum>
  <w:abstractNum w:abstractNumId="1">
    <w:nsid w:val="2B2FF1B0"/>
    <w:multiLevelType w:val="singleLevel"/>
    <w:tmpl w:val="2B2FF1B0"/>
    <w:lvl w:ilvl="0" w:tentative="0">
      <w:start w:val="6"/>
      <w:numFmt w:val="chineseCounting"/>
      <w:suff w:val="nothing"/>
      <w:lvlText w:val="%1、"/>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abstractNum w:abstractNumId="3">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240B"/>
    <w:rsid w:val="000253CB"/>
    <w:rsid w:val="000268B8"/>
    <w:rsid w:val="00042522"/>
    <w:rsid w:val="00066A42"/>
    <w:rsid w:val="00092801"/>
    <w:rsid w:val="00094AE2"/>
    <w:rsid w:val="000B1B09"/>
    <w:rsid w:val="000B1B9B"/>
    <w:rsid w:val="000D556A"/>
    <w:rsid w:val="00132E43"/>
    <w:rsid w:val="00170110"/>
    <w:rsid w:val="0017112E"/>
    <w:rsid w:val="00172A27"/>
    <w:rsid w:val="00193282"/>
    <w:rsid w:val="001D171B"/>
    <w:rsid w:val="001D3FB5"/>
    <w:rsid w:val="002050D3"/>
    <w:rsid w:val="002167CB"/>
    <w:rsid w:val="00220525"/>
    <w:rsid w:val="00243414"/>
    <w:rsid w:val="002A721A"/>
    <w:rsid w:val="002B05DF"/>
    <w:rsid w:val="002F7C96"/>
    <w:rsid w:val="00310F14"/>
    <w:rsid w:val="00327B76"/>
    <w:rsid w:val="00336FCB"/>
    <w:rsid w:val="00376170"/>
    <w:rsid w:val="003A4416"/>
    <w:rsid w:val="003B71DC"/>
    <w:rsid w:val="004017BE"/>
    <w:rsid w:val="00402C74"/>
    <w:rsid w:val="00415678"/>
    <w:rsid w:val="00450063"/>
    <w:rsid w:val="00464C1E"/>
    <w:rsid w:val="004813A8"/>
    <w:rsid w:val="0048338D"/>
    <w:rsid w:val="004A4CE5"/>
    <w:rsid w:val="004C11C3"/>
    <w:rsid w:val="004D36BB"/>
    <w:rsid w:val="004E4249"/>
    <w:rsid w:val="004F3C7C"/>
    <w:rsid w:val="004F60A5"/>
    <w:rsid w:val="0050293C"/>
    <w:rsid w:val="00503F16"/>
    <w:rsid w:val="00511728"/>
    <w:rsid w:val="005212D4"/>
    <w:rsid w:val="005321D3"/>
    <w:rsid w:val="005639AF"/>
    <w:rsid w:val="005A19A4"/>
    <w:rsid w:val="005A2E5A"/>
    <w:rsid w:val="005B5A06"/>
    <w:rsid w:val="005C417A"/>
    <w:rsid w:val="005C4F2F"/>
    <w:rsid w:val="005E126E"/>
    <w:rsid w:val="00630D31"/>
    <w:rsid w:val="006346AF"/>
    <w:rsid w:val="00644936"/>
    <w:rsid w:val="00644C63"/>
    <w:rsid w:val="006771A0"/>
    <w:rsid w:val="006C7949"/>
    <w:rsid w:val="006D5EE8"/>
    <w:rsid w:val="006F22F7"/>
    <w:rsid w:val="00706EC9"/>
    <w:rsid w:val="007115FD"/>
    <w:rsid w:val="00731281"/>
    <w:rsid w:val="00731FE8"/>
    <w:rsid w:val="00743248"/>
    <w:rsid w:val="00777C73"/>
    <w:rsid w:val="00780925"/>
    <w:rsid w:val="00787823"/>
    <w:rsid w:val="007956F5"/>
    <w:rsid w:val="007B72EA"/>
    <w:rsid w:val="007D6B35"/>
    <w:rsid w:val="007F7F87"/>
    <w:rsid w:val="0082469D"/>
    <w:rsid w:val="0087504E"/>
    <w:rsid w:val="008A143C"/>
    <w:rsid w:val="008A6C9D"/>
    <w:rsid w:val="008C1C3C"/>
    <w:rsid w:val="008C3AC6"/>
    <w:rsid w:val="009535F8"/>
    <w:rsid w:val="00975B43"/>
    <w:rsid w:val="009B6CAD"/>
    <w:rsid w:val="009E5584"/>
    <w:rsid w:val="00A77C36"/>
    <w:rsid w:val="00A84443"/>
    <w:rsid w:val="00A85791"/>
    <w:rsid w:val="00A9413B"/>
    <w:rsid w:val="00AB2FD6"/>
    <w:rsid w:val="00AB7377"/>
    <w:rsid w:val="00AE7787"/>
    <w:rsid w:val="00AF7B15"/>
    <w:rsid w:val="00B12B50"/>
    <w:rsid w:val="00B131EB"/>
    <w:rsid w:val="00B54309"/>
    <w:rsid w:val="00B72C40"/>
    <w:rsid w:val="00B74243"/>
    <w:rsid w:val="00B84FB0"/>
    <w:rsid w:val="00B87198"/>
    <w:rsid w:val="00BA37FF"/>
    <w:rsid w:val="00BC30E8"/>
    <w:rsid w:val="00BC5210"/>
    <w:rsid w:val="00BC53E3"/>
    <w:rsid w:val="00BD5D88"/>
    <w:rsid w:val="00BE4CA5"/>
    <w:rsid w:val="00BF3D6F"/>
    <w:rsid w:val="00BF74B7"/>
    <w:rsid w:val="00C32399"/>
    <w:rsid w:val="00C33C03"/>
    <w:rsid w:val="00C52F7B"/>
    <w:rsid w:val="00C57D7B"/>
    <w:rsid w:val="00C6444A"/>
    <w:rsid w:val="00C92681"/>
    <w:rsid w:val="00CD133B"/>
    <w:rsid w:val="00CD4933"/>
    <w:rsid w:val="00CE1F78"/>
    <w:rsid w:val="00D019DF"/>
    <w:rsid w:val="00D07390"/>
    <w:rsid w:val="00D214A5"/>
    <w:rsid w:val="00D9092F"/>
    <w:rsid w:val="00DA2B1D"/>
    <w:rsid w:val="00DA6B5B"/>
    <w:rsid w:val="00DB1C77"/>
    <w:rsid w:val="00DB2E9E"/>
    <w:rsid w:val="00DD5457"/>
    <w:rsid w:val="00E21B07"/>
    <w:rsid w:val="00E32E02"/>
    <w:rsid w:val="00E70052"/>
    <w:rsid w:val="00E80CB1"/>
    <w:rsid w:val="00E81846"/>
    <w:rsid w:val="00E8190D"/>
    <w:rsid w:val="00E92067"/>
    <w:rsid w:val="00ED38A5"/>
    <w:rsid w:val="00ED44BB"/>
    <w:rsid w:val="00ED77BD"/>
    <w:rsid w:val="00EE6AA4"/>
    <w:rsid w:val="00EF2647"/>
    <w:rsid w:val="00F14010"/>
    <w:rsid w:val="00F44086"/>
    <w:rsid w:val="00F56E76"/>
    <w:rsid w:val="00F92F65"/>
    <w:rsid w:val="00FB0B96"/>
    <w:rsid w:val="00FC33E5"/>
    <w:rsid w:val="00FD7FDE"/>
    <w:rsid w:val="01F21A60"/>
    <w:rsid w:val="026651AD"/>
    <w:rsid w:val="027033B1"/>
    <w:rsid w:val="02A40074"/>
    <w:rsid w:val="03240ECA"/>
    <w:rsid w:val="0334185F"/>
    <w:rsid w:val="037C7CB5"/>
    <w:rsid w:val="04453648"/>
    <w:rsid w:val="049C7886"/>
    <w:rsid w:val="058C665E"/>
    <w:rsid w:val="05C338ED"/>
    <w:rsid w:val="06352525"/>
    <w:rsid w:val="069E2451"/>
    <w:rsid w:val="07F31BEE"/>
    <w:rsid w:val="084D7413"/>
    <w:rsid w:val="08A93228"/>
    <w:rsid w:val="08FB3159"/>
    <w:rsid w:val="096E3EB6"/>
    <w:rsid w:val="09A04A76"/>
    <w:rsid w:val="09BB2134"/>
    <w:rsid w:val="09C15A90"/>
    <w:rsid w:val="09EB652C"/>
    <w:rsid w:val="0B645C90"/>
    <w:rsid w:val="0B9B6A74"/>
    <w:rsid w:val="0C111AE9"/>
    <w:rsid w:val="0C224B3B"/>
    <w:rsid w:val="0C366EEC"/>
    <w:rsid w:val="0C515F6B"/>
    <w:rsid w:val="0CB916A7"/>
    <w:rsid w:val="0FAB2FE6"/>
    <w:rsid w:val="0FEF0DE6"/>
    <w:rsid w:val="10C23529"/>
    <w:rsid w:val="113E646F"/>
    <w:rsid w:val="117A0571"/>
    <w:rsid w:val="11973846"/>
    <w:rsid w:val="147E551D"/>
    <w:rsid w:val="14D2458E"/>
    <w:rsid w:val="150B6848"/>
    <w:rsid w:val="15492582"/>
    <w:rsid w:val="158D423D"/>
    <w:rsid w:val="16F04768"/>
    <w:rsid w:val="17965762"/>
    <w:rsid w:val="17BE6092"/>
    <w:rsid w:val="17F73D7A"/>
    <w:rsid w:val="198A5078"/>
    <w:rsid w:val="1A624019"/>
    <w:rsid w:val="1BDA57BC"/>
    <w:rsid w:val="1C1F61CB"/>
    <w:rsid w:val="1C3B117F"/>
    <w:rsid w:val="1C970E94"/>
    <w:rsid w:val="1DDB7006"/>
    <w:rsid w:val="1E123DF9"/>
    <w:rsid w:val="1E2566FD"/>
    <w:rsid w:val="1E7D3B34"/>
    <w:rsid w:val="207C32A0"/>
    <w:rsid w:val="20F5460F"/>
    <w:rsid w:val="212E5315"/>
    <w:rsid w:val="221955D9"/>
    <w:rsid w:val="239C2375"/>
    <w:rsid w:val="254B33D1"/>
    <w:rsid w:val="256D2254"/>
    <w:rsid w:val="26C27E88"/>
    <w:rsid w:val="271468BA"/>
    <w:rsid w:val="27507D70"/>
    <w:rsid w:val="281D067B"/>
    <w:rsid w:val="28716D0B"/>
    <w:rsid w:val="28953208"/>
    <w:rsid w:val="29621C7E"/>
    <w:rsid w:val="2983760E"/>
    <w:rsid w:val="29B13F52"/>
    <w:rsid w:val="29ED2241"/>
    <w:rsid w:val="2A231E8C"/>
    <w:rsid w:val="2A881B49"/>
    <w:rsid w:val="2ACE51FA"/>
    <w:rsid w:val="2BA210AB"/>
    <w:rsid w:val="2BA4769A"/>
    <w:rsid w:val="2C654BE7"/>
    <w:rsid w:val="2C8F6BCF"/>
    <w:rsid w:val="2CC075DB"/>
    <w:rsid w:val="2CD06EF4"/>
    <w:rsid w:val="2D9D4DA5"/>
    <w:rsid w:val="2DBF18D1"/>
    <w:rsid w:val="2DFA3D67"/>
    <w:rsid w:val="2F2B55B8"/>
    <w:rsid w:val="2F47056C"/>
    <w:rsid w:val="2F882891"/>
    <w:rsid w:val="3038379D"/>
    <w:rsid w:val="307652F7"/>
    <w:rsid w:val="325F6EF2"/>
    <w:rsid w:val="32EF005E"/>
    <w:rsid w:val="32EF40CE"/>
    <w:rsid w:val="33A76F4E"/>
    <w:rsid w:val="34416F30"/>
    <w:rsid w:val="35A34CEE"/>
    <w:rsid w:val="364D690A"/>
    <w:rsid w:val="36FA2471"/>
    <w:rsid w:val="372974AC"/>
    <w:rsid w:val="38262F47"/>
    <w:rsid w:val="38D3762C"/>
    <w:rsid w:val="39637962"/>
    <w:rsid w:val="39765334"/>
    <w:rsid w:val="39967F15"/>
    <w:rsid w:val="3A4845E6"/>
    <w:rsid w:val="3AE7177F"/>
    <w:rsid w:val="3B367AAF"/>
    <w:rsid w:val="3B3D219E"/>
    <w:rsid w:val="3C5769C0"/>
    <w:rsid w:val="3DF8273A"/>
    <w:rsid w:val="3E2F6981"/>
    <w:rsid w:val="3EA437AD"/>
    <w:rsid w:val="3ED45B75"/>
    <w:rsid w:val="3EEE22CD"/>
    <w:rsid w:val="3F081D17"/>
    <w:rsid w:val="3FCD07F4"/>
    <w:rsid w:val="40422101"/>
    <w:rsid w:val="41623E7F"/>
    <w:rsid w:val="41CF71DE"/>
    <w:rsid w:val="42271DDB"/>
    <w:rsid w:val="42563EC6"/>
    <w:rsid w:val="42611F1C"/>
    <w:rsid w:val="42E5126F"/>
    <w:rsid w:val="43E82B9D"/>
    <w:rsid w:val="44AA16BC"/>
    <w:rsid w:val="44BD10F5"/>
    <w:rsid w:val="457B1C96"/>
    <w:rsid w:val="465027B4"/>
    <w:rsid w:val="468900BD"/>
    <w:rsid w:val="46F559ED"/>
    <w:rsid w:val="477D716C"/>
    <w:rsid w:val="48B04460"/>
    <w:rsid w:val="48B52937"/>
    <w:rsid w:val="48C00F7D"/>
    <w:rsid w:val="48EE3EF3"/>
    <w:rsid w:val="493C0E28"/>
    <w:rsid w:val="49FD41B2"/>
    <w:rsid w:val="4B2D55EB"/>
    <w:rsid w:val="4B9E20DB"/>
    <w:rsid w:val="4C1E2F28"/>
    <w:rsid w:val="4CE74EEA"/>
    <w:rsid w:val="4D024373"/>
    <w:rsid w:val="4D1B287D"/>
    <w:rsid w:val="4DE20C7C"/>
    <w:rsid w:val="4F2572BB"/>
    <w:rsid w:val="4FDB68C8"/>
    <w:rsid w:val="50C2787A"/>
    <w:rsid w:val="5115239B"/>
    <w:rsid w:val="5198649F"/>
    <w:rsid w:val="53A2260F"/>
    <w:rsid w:val="541D6A82"/>
    <w:rsid w:val="544677EE"/>
    <w:rsid w:val="5552240D"/>
    <w:rsid w:val="55EA1009"/>
    <w:rsid w:val="5616290C"/>
    <w:rsid w:val="5651051D"/>
    <w:rsid w:val="574C613C"/>
    <w:rsid w:val="57E961A8"/>
    <w:rsid w:val="581E77CF"/>
    <w:rsid w:val="58882378"/>
    <w:rsid w:val="58B06254"/>
    <w:rsid w:val="5AF25131"/>
    <w:rsid w:val="5BCA31AA"/>
    <w:rsid w:val="5C0F3375"/>
    <w:rsid w:val="5CF547C9"/>
    <w:rsid w:val="5D830723"/>
    <w:rsid w:val="5DC20D36"/>
    <w:rsid w:val="5DD56AC2"/>
    <w:rsid w:val="5E4603B4"/>
    <w:rsid w:val="5E886EBD"/>
    <w:rsid w:val="5EB57926"/>
    <w:rsid w:val="5EB6715F"/>
    <w:rsid w:val="5ECF3FA4"/>
    <w:rsid w:val="5F130DE5"/>
    <w:rsid w:val="5F964892"/>
    <w:rsid w:val="5FB578F9"/>
    <w:rsid w:val="600176AC"/>
    <w:rsid w:val="607310CF"/>
    <w:rsid w:val="60B8378D"/>
    <w:rsid w:val="60F22670"/>
    <w:rsid w:val="60FF0C45"/>
    <w:rsid w:val="617A16DC"/>
    <w:rsid w:val="61CF213D"/>
    <w:rsid w:val="627A693C"/>
    <w:rsid w:val="62C86ED5"/>
    <w:rsid w:val="62D27395"/>
    <w:rsid w:val="62E55706"/>
    <w:rsid w:val="635263D8"/>
    <w:rsid w:val="63FC5C35"/>
    <w:rsid w:val="664A46E0"/>
    <w:rsid w:val="66D448EA"/>
    <w:rsid w:val="67024CD9"/>
    <w:rsid w:val="67776E90"/>
    <w:rsid w:val="6796775E"/>
    <w:rsid w:val="67D84ED8"/>
    <w:rsid w:val="68246F43"/>
    <w:rsid w:val="68500770"/>
    <w:rsid w:val="686B0051"/>
    <w:rsid w:val="687C156E"/>
    <w:rsid w:val="68E95CA0"/>
    <w:rsid w:val="68F315DE"/>
    <w:rsid w:val="69B7618F"/>
    <w:rsid w:val="69F5224D"/>
    <w:rsid w:val="69F84494"/>
    <w:rsid w:val="6A044246"/>
    <w:rsid w:val="6ABB6698"/>
    <w:rsid w:val="6AC30185"/>
    <w:rsid w:val="6C643AE6"/>
    <w:rsid w:val="6C9F4A6B"/>
    <w:rsid w:val="6DC12C15"/>
    <w:rsid w:val="6DD8136F"/>
    <w:rsid w:val="6F2D14A1"/>
    <w:rsid w:val="6FDF24CC"/>
    <w:rsid w:val="705F045F"/>
    <w:rsid w:val="71490407"/>
    <w:rsid w:val="7156288B"/>
    <w:rsid w:val="72732B50"/>
    <w:rsid w:val="72B61072"/>
    <w:rsid w:val="73F12465"/>
    <w:rsid w:val="75531EF6"/>
    <w:rsid w:val="755A7A11"/>
    <w:rsid w:val="75D0003D"/>
    <w:rsid w:val="76662052"/>
    <w:rsid w:val="7678537A"/>
    <w:rsid w:val="77C50FA4"/>
    <w:rsid w:val="77DB4B1C"/>
    <w:rsid w:val="783E1213"/>
    <w:rsid w:val="79060C93"/>
    <w:rsid w:val="7A070B19"/>
    <w:rsid w:val="7A2862DD"/>
    <w:rsid w:val="7B2F1C1E"/>
    <w:rsid w:val="7C2C4361"/>
    <w:rsid w:val="7DC91600"/>
    <w:rsid w:val="7FFB453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style>
  <w:style w:type="paragraph" w:styleId="3">
    <w:name w:val="Body Text Indent"/>
    <w:basedOn w:val="1"/>
    <w:link w:val="8"/>
    <w:qFormat/>
    <w:uiPriority w:val="99"/>
    <w:pPr>
      <w:ind w:firstLine="640" w:firstLineChars="200"/>
    </w:p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缩进 Char"/>
    <w:basedOn w:val="7"/>
    <w:link w:val="3"/>
    <w:semiHidden/>
    <w:qFormat/>
    <w:locked/>
    <w:uiPriority w:val="99"/>
    <w:rPr>
      <w:rFonts w:ascii="Calibri" w:hAnsi="Calibri" w:cs="Times New Roman"/>
      <w:sz w:val="24"/>
      <w:szCs w:val="24"/>
    </w:rPr>
  </w:style>
  <w:style w:type="character" w:customStyle="1" w:styleId="9">
    <w:name w:val="页脚 Char"/>
    <w:basedOn w:val="7"/>
    <w:link w:val="4"/>
    <w:semiHidden/>
    <w:qFormat/>
    <w:locked/>
    <w:uiPriority w:val="99"/>
    <w:rPr>
      <w:rFonts w:ascii="Calibri" w:hAnsi="Calibri" w:cs="Times New Roman"/>
      <w:sz w:val="18"/>
      <w:szCs w:val="18"/>
    </w:rPr>
  </w:style>
  <w:style w:type="character" w:customStyle="1" w:styleId="10">
    <w:name w:val="页眉 Char"/>
    <w:basedOn w:val="7"/>
    <w:link w:val="5"/>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597</Words>
  <Characters>3408</Characters>
  <Lines>28</Lines>
  <Paragraphs>7</Paragraphs>
  <TotalTime>1</TotalTime>
  <ScaleCrop>false</ScaleCrop>
  <LinksUpToDate>false</LinksUpToDate>
  <CharactersWithSpaces>3998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Garfield</cp:lastModifiedBy>
  <cp:lastPrinted>2017-07-25T02:47:00Z</cp:lastPrinted>
  <dcterms:modified xsi:type="dcterms:W3CDTF">2021-12-06T01:47:48Z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AE8A678499C04355B356D75495F948D7</vt:lpwstr>
  </property>
</Properties>
</file>