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2021年信阳市</w:t>
      </w:r>
      <w:r>
        <w:rPr>
          <w:rFonts w:hint="eastAsia" w:ascii="楷体" w:hAnsi="楷体" w:eastAsia="楷体" w:cs="Arial"/>
          <w:b/>
          <w:bCs/>
          <w:color w:val="666666"/>
          <w:kern w:val="0"/>
          <w:sz w:val="27"/>
          <w:szCs w:val="27"/>
          <w:lang w:eastAsia="zh-CN"/>
        </w:rPr>
        <w:t>浉河区统计局</w:t>
      </w:r>
      <w:r>
        <w:rPr>
          <w:rFonts w:hint="eastAsia" w:ascii="楷体" w:hAnsi="楷体" w:eastAsia="楷体" w:cs="Arial"/>
          <w:b/>
          <w:bCs/>
          <w:color w:val="666666"/>
          <w:kern w:val="0"/>
          <w:sz w:val="27"/>
          <w:szCs w:val="27"/>
        </w:rPr>
        <w:t>部门预算公开</w:t>
      </w:r>
    </w:p>
    <w:p>
      <w:pPr>
        <w:widowControl/>
        <w:shd w:val="clear" w:color="auto" w:fill="FFFFFF"/>
        <w:jc w:val="center"/>
        <w:rPr>
          <w:rFonts w:hint="eastAsia" w:ascii="Calibri" w:hAnsi="Calibri" w:eastAsia="楷体" w:cs="Calibri"/>
          <w:b/>
          <w:bCs/>
          <w:color w:val="666666"/>
          <w:kern w:val="0"/>
          <w:sz w:val="27"/>
          <w:szCs w:val="27"/>
          <w:lang w:eastAsia="zh-CN"/>
        </w:rPr>
      </w:pPr>
      <w:r>
        <w:rPr>
          <w:rFonts w:ascii="Calibri" w:hAnsi="Calibri" w:eastAsia="楷体" w:cs="Calibri"/>
          <w:b/>
          <w:bCs/>
          <w:color w:val="666666"/>
          <w:kern w:val="0"/>
          <w:sz w:val="27"/>
          <w:szCs w:val="27"/>
        </w:rPr>
        <w:t> </w:t>
      </w:r>
    </w:p>
    <w:p>
      <w:pPr>
        <w:widowControl/>
        <w:shd w:val="clear" w:color="auto" w:fill="FFFFFF"/>
        <w:jc w:val="center"/>
        <w:rPr>
          <w:rFonts w:ascii="Arial" w:hAnsi="Arial" w:eastAsia="宋体" w:cs="Arial"/>
          <w:color w:val="666666"/>
          <w:kern w:val="0"/>
          <w:szCs w:val="21"/>
        </w:rPr>
      </w:pPr>
      <w:r>
        <w:rPr>
          <w:rFonts w:hint="eastAsia" w:ascii="楷体" w:hAnsi="楷体" w:eastAsia="楷体" w:cs="Arial"/>
          <w:b/>
          <w:bCs/>
          <w:color w:val="666666"/>
          <w:kern w:val="0"/>
          <w:sz w:val="36"/>
          <w:szCs w:val="36"/>
        </w:rPr>
        <w:t>目</w:t>
      </w:r>
      <w:r>
        <w:rPr>
          <w:rFonts w:ascii="Calibri" w:hAnsi="Calibri" w:eastAsia="楷体" w:cs="Calibri"/>
          <w:b/>
          <w:bCs/>
          <w:color w:val="666666"/>
          <w:kern w:val="0"/>
          <w:sz w:val="36"/>
          <w:szCs w:val="36"/>
        </w:rPr>
        <w:t> </w:t>
      </w:r>
      <w:r>
        <w:rPr>
          <w:rFonts w:hint="eastAsia" w:ascii="楷体" w:hAnsi="楷体" w:eastAsia="楷体" w:cs="Arial"/>
          <w:b/>
          <w:bCs/>
          <w:color w:val="666666"/>
          <w:kern w:val="0"/>
          <w:sz w:val="36"/>
          <w:szCs w:val="36"/>
        </w:rPr>
        <w:t>录</w:t>
      </w:r>
    </w:p>
    <w:p>
      <w:pPr>
        <w:widowControl/>
        <w:jc w:val="left"/>
        <w:rPr>
          <w:rFonts w:hint="eastAsia" w:ascii="Calibri" w:hAnsi="Calibri" w:eastAsia="楷体" w:cs="Calibri"/>
          <w:color w:val="666666"/>
          <w:kern w:val="0"/>
          <w:sz w:val="27"/>
          <w:szCs w:val="27"/>
          <w:shd w:val="clear" w:color="auto" w:fill="FFFFFF"/>
          <w:lang w:eastAsia="zh-CN"/>
        </w:rPr>
      </w:pPr>
      <w:r>
        <w:rPr>
          <w:rFonts w:ascii="Calibri" w:hAnsi="Calibri" w:eastAsia="楷体" w:cs="Calibri"/>
          <w:color w:val="666666"/>
          <w:kern w:val="0"/>
          <w:sz w:val="27"/>
          <w:szCs w:val="27"/>
          <w:shd w:val="clear" w:color="auto" w:fill="FFFFFF"/>
        </w:rPr>
        <w:t> </w:t>
      </w:r>
    </w:p>
    <w:p>
      <w:pPr>
        <w:widowControl/>
        <w:jc w:val="left"/>
        <w:rPr>
          <w:rFonts w:hint="eastAsia" w:ascii="Calibri" w:hAnsi="Calibri" w:eastAsia="楷体" w:cs="Calibri"/>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第一部分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概况</w:t>
      </w:r>
      <w:r>
        <w:rPr>
          <w:rFonts w:ascii="Calibri" w:hAnsi="Calibri" w:eastAsia="楷体" w:cs="Calibri"/>
          <w:color w:val="666666"/>
          <w:kern w:val="0"/>
          <w:sz w:val="27"/>
          <w:szCs w:val="27"/>
          <w:shd w:val="clear" w:color="auto" w:fill="FFFFFF"/>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一、主要职能</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二、机构设置</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三、部门预算单位构成</w:t>
      </w:r>
    </w:p>
    <w:p>
      <w:pPr>
        <w:widowControl/>
        <w:jc w:val="left"/>
        <w:rPr>
          <w:rFonts w:hint="eastAsia" w:ascii="Calibri" w:hAnsi="Calibri" w:eastAsia="楷体" w:cs="Calibri"/>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第二部分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2021年度部门预算情况说明</w:t>
      </w:r>
      <w:r>
        <w:rPr>
          <w:rFonts w:ascii="Calibri" w:hAnsi="Calibri" w:eastAsia="楷体" w:cs="Calibri"/>
          <w:color w:val="666666"/>
          <w:kern w:val="0"/>
          <w:sz w:val="27"/>
          <w:szCs w:val="27"/>
          <w:shd w:val="clear" w:color="auto" w:fill="FFFFFF"/>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第三部分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名词解释</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附件：</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2021年度部门预算表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一、部门收支总体情况表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二、部门收入总体情况表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三、部门支出总体情况表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四、财政拨款收支总体情况表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五、一般公共预算支出情况表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六、支出经济分类汇总表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七、一般公共预算“三公”经费支出情况表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八、政府性基金预算支出情况表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九、部门（单位）整体绩效目标表</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十、部门预算项目绩效目标表</w:t>
      </w: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Arial" w:hAnsi="Arial" w:eastAsia="宋体" w:cs="Arial"/>
          <w:color w:val="666666"/>
          <w:kern w:val="0"/>
          <w:szCs w:val="21"/>
          <w:lang w:eastAsia="zh-CN"/>
        </w:rPr>
      </w:pP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第一部分</w:t>
      </w: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信阳市</w:t>
      </w:r>
      <w:r>
        <w:rPr>
          <w:rFonts w:hint="eastAsia" w:ascii="楷体" w:hAnsi="楷体" w:eastAsia="楷体" w:cs="Arial"/>
          <w:b/>
          <w:bCs/>
          <w:color w:val="666666"/>
          <w:kern w:val="0"/>
          <w:sz w:val="27"/>
          <w:szCs w:val="27"/>
          <w:lang w:eastAsia="zh-CN"/>
        </w:rPr>
        <w:t>浉河区统计局</w:t>
      </w:r>
      <w:r>
        <w:rPr>
          <w:rFonts w:hint="eastAsia" w:ascii="楷体" w:hAnsi="楷体" w:eastAsia="楷体" w:cs="Arial"/>
          <w:b/>
          <w:bCs/>
          <w:color w:val="666666"/>
          <w:kern w:val="0"/>
          <w:sz w:val="27"/>
          <w:szCs w:val="27"/>
        </w:rPr>
        <w:t>概况</w:t>
      </w:r>
    </w:p>
    <w:p>
      <w:pPr>
        <w:widowControl/>
        <w:shd w:val="clear" w:color="auto" w:fill="FFFFFF"/>
        <w:jc w:val="center"/>
        <w:rPr>
          <w:rFonts w:ascii="Arial" w:hAnsi="Arial" w:eastAsia="宋体" w:cs="Arial"/>
          <w:color w:val="666666"/>
          <w:kern w:val="0"/>
          <w:szCs w:val="21"/>
        </w:rPr>
      </w:pPr>
      <w:r>
        <w:rPr>
          <w:rFonts w:ascii="Arial" w:hAnsi="Arial" w:eastAsia="宋体" w:cs="Arial"/>
          <w:color w:val="666666"/>
          <w:kern w:val="0"/>
          <w:szCs w:val="21"/>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主要职责</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一）承担组织领导和协调全区统计工作，确保统计数据真实、准确、及时；贯彻执行国家、省、市统计政策、规划、基本统计制度和统计标准，制定地方统计制度和统计标准；贯彻执行国家和河南省统计法律、法规；制定部门规范性文件；指导全区统计工作。</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二</w:t>
      </w:r>
      <w:r>
        <w:rPr>
          <w:rFonts w:hint="eastAsia" w:ascii="楷体" w:hAnsi="楷体" w:eastAsia="楷体" w:cs="Arial"/>
          <w:color w:val="666666"/>
          <w:kern w:val="0"/>
          <w:sz w:val="27"/>
          <w:szCs w:val="27"/>
          <w:shd w:val="clear" w:color="auto" w:fill="FFFFFF"/>
        </w:rPr>
        <w:t>）贯彻执行国家国民经济核算制度，建立健全全区国民经济核算体系和统计指标体系，监督管理各乡、镇、办事处国民经济核算工作。</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三</w:t>
      </w:r>
      <w:r>
        <w:rPr>
          <w:rFonts w:hint="eastAsia" w:ascii="楷体" w:hAnsi="楷体" w:eastAsia="楷体" w:cs="Arial"/>
          <w:color w:val="666666"/>
          <w:kern w:val="0"/>
          <w:sz w:val="27"/>
          <w:szCs w:val="27"/>
          <w:shd w:val="clear" w:color="auto" w:fill="FFFFFF"/>
        </w:rPr>
        <w:t>）会同有关部门贯彻落实全国重大国情国力普查计划、方案，组织实施全区人口、经济、农业等国情国力普查和投入产出调查等大型专项调查，汇总、整理和提供有关国情国力方面的统计数据。</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四</w:t>
      </w:r>
      <w:r>
        <w:rPr>
          <w:rFonts w:hint="eastAsia" w:ascii="楷体" w:hAnsi="楷体" w:eastAsia="楷体" w:cs="Arial"/>
          <w:color w:val="666666"/>
          <w:kern w:val="0"/>
          <w:sz w:val="27"/>
          <w:szCs w:val="27"/>
          <w:shd w:val="clear" w:color="auto" w:fill="FFFFFF"/>
        </w:rPr>
        <w:t>）组织实施农林牧渔业、工业、建筑业、批发和零售业、住宿和餐饮业、房地产业、租赁和商务服务业、居民服务和其他服务业、能源、投资、科技、人口、劳动力、环境基本状况、文化体育和娱乐业以及装卸搬运和其他运输服务业、仓储业、计算机服务业、软件业、科技交流和推广服务业、社会福利业等统计调查，收集、汇总、整理和提供有关调查的统计数据。综合整理和提供地质勘查、旅游、交通运输、资源、房屋、对外贸易、对外经济、邮政、教育、卫生、社会保障、公用事业等全区性基本统计数据。</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五</w:t>
      </w:r>
      <w:r>
        <w:rPr>
          <w:rFonts w:hint="eastAsia" w:ascii="楷体" w:hAnsi="楷体" w:eastAsia="楷体" w:cs="Arial"/>
          <w:color w:val="666666"/>
          <w:kern w:val="0"/>
          <w:sz w:val="27"/>
          <w:szCs w:val="27"/>
          <w:shd w:val="clear" w:color="auto" w:fill="FFFFFF"/>
        </w:rPr>
        <w:t>）组织各乡、镇、办事处、区政府各部门的经济、社会、科技和资源环境统计调查；统一核定、管理、公布全区性基本统计资料，定期发布全区国民经济和社会发展情况的统计信息；组织实施重要的统计监测评价考核和社情民意调查。</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六</w:t>
      </w:r>
      <w:r>
        <w:rPr>
          <w:rFonts w:hint="eastAsia" w:ascii="楷体" w:hAnsi="楷体" w:eastAsia="楷体" w:cs="Arial"/>
          <w:color w:val="666666"/>
          <w:kern w:val="0"/>
          <w:sz w:val="27"/>
          <w:szCs w:val="27"/>
          <w:shd w:val="clear" w:color="auto" w:fill="FFFFFF"/>
        </w:rPr>
        <w:t>）对国民经济、社会发展、科技进步和资源环境等情况进行统计分析、统计预测和统计监督，向区委、区政府及有关部门提供统计信息和服务。</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七</w:t>
      </w:r>
      <w:r>
        <w:rPr>
          <w:rFonts w:hint="eastAsia" w:ascii="楷体" w:hAnsi="楷体" w:eastAsia="楷体" w:cs="Arial"/>
          <w:color w:val="666666"/>
          <w:kern w:val="0"/>
          <w:sz w:val="27"/>
          <w:szCs w:val="27"/>
          <w:shd w:val="clear" w:color="auto" w:fill="FFFFFF"/>
        </w:rPr>
        <w:t>）审批区级部门统计标准，依法审批或者备案区级各部门统计调查项目、地方统计调查项目；指导专业统计基础工作、统计基层业务基础建设；组织建立全区服务业统计信息共享制度和发布制度；建立健全统计数据质量审核、监控和评估制度，开展对重要统计数据的审核、监控和评估；依法监督管理涉外调查活动。</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八</w:t>
      </w:r>
      <w:r>
        <w:rPr>
          <w:rFonts w:hint="eastAsia" w:ascii="楷体" w:hAnsi="楷体" w:eastAsia="楷体" w:cs="Arial"/>
          <w:color w:val="666666"/>
          <w:kern w:val="0"/>
          <w:sz w:val="27"/>
          <w:szCs w:val="27"/>
          <w:shd w:val="clear" w:color="auto" w:fill="FFFFFF"/>
        </w:rPr>
        <w:t>）协助各乡、镇、办事处统计人员指导全区统计专业技术队伍建设，参与组织管理全区统计专业资格考试、职务评聘和从业资格认定工作，监督管理全区各级政府统计部门由中央财政、省、市财政提供的统计经费和专项基本建设投资。</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九</w:t>
      </w:r>
      <w:r>
        <w:rPr>
          <w:rFonts w:hint="eastAsia" w:ascii="楷体" w:hAnsi="楷体" w:eastAsia="楷体" w:cs="Arial"/>
          <w:color w:val="666666"/>
          <w:kern w:val="0"/>
          <w:sz w:val="27"/>
          <w:szCs w:val="27"/>
          <w:shd w:val="clear" w:color="auto" w:fill="FFFFFF"/>
        </w:rPr>
        <w:t>）建立并管理全区统计信息自动化系统和统计数据库系统，组织制定各乡、镇、办事处、区政府各部门统计数据库和网络的基本标准和运行规则，指导全区统计信息化系统建设。</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十</w:t>
      </w:r>
      <w:r>
        <w:rPr>
          <w:rFonts w:hint="eastAsia" w:ascii="楷体" w:hAnsi="楷体" w:eastAsia="楷体" w:cs="Arial"/>
          <w:color w:val="666666"/>
          <w:kern w:val="0"/>
          <w:sz w:val="27"/>
          <w:szCs w:val="27"/>
          <w:shd w:val="clear" w:color="auto" w:fill="FFFFFF"/>
        </w:rPr>
        <w:t>）领导和管理直属事业单位。承办区政府和市统计局交办的其他事项。</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二、局机构设置</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浉河区统计局单位机关内设 7 个职能科室和 3 个二级归口预算单位。三、信阳市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预算算单位构成</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部门预算包括局机关本级预算和所属单位预算在内的汇总预算。</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1.局机关本级</w:t>
      </w:r>
    </w:p>
    <w:p>
      <w:pPr>
        <w:widowControl/>
        <w:ind w:firstLine="540" w:firstLineChars="200"/>
        <w:jc w:val="left"/>
        <w:rPr>
          <w:rFonts w:hint="eastAsia" w:ascii="楷体" w:hAnsi="楷体" w:eastAsia="楷体" w:cs="Arial"/>
          <w:color w:val="666666"/>
          <w:kern w:val="0"/>
          <w:sz w:val="27"/>
          <w:szCs w:val="27"/>
          <w:shd w:val="clear" w:color="auto" w:fill="FFFFFF"/>
          <w:lang w:val="en-US" w:eastAsia="zh-CN"/>
        </w:rPr>
      </w:pPr>
      <w:r>
        <w:rPr>
          <w:rFonts w:hint="eastAsia" w:ascii="楷体" w:hAnsi="楷体" w:eastAsia="楷体" w:cs="Arial"/>
          <w:color w:val="666666"/>
          <w:kern w:val="0"/>
          <w:sz w:val="27"/>
          <w:szCs w:val="27"/>
          <w:shd w:val="clear" w:color="auto" w:fill="FFFFFF"/>
        </w:rPr>
        <w:t>2.信阳市</w:t>
      </w:r>
      <w:r>
        <w:rPr>
          <w:rFonts w:hint="eastAsia" w:ascii="楷体" w:hAnsi="楷体" w:eastAsia="楷体" w:cs="Arial"/>
          <w:color w:val="666666"/>
          <w:kern w:val="0"/>
          <w:sz w:val="27"/>
          <w:szCs w:val="27"/>
          <w:shd w:val="clear" w:color="auto" w:fill="FFFFFF"/>
          <w:lang w:val="en-US" w:eastAsia="zh-CN"/>
        </w:rPr>
        <w:t>浉河区农村社会经济调查队</w:t>
      </w:r>
    </w:p>
    <w:p>
      <w:pPr>
        <w:widowControl/>
        <w:ind w:firstLine="540" w:firstLineChars="200"/>
        <w:jc w:val="left"/>
        <w:rPr>
          <w:rFonts w:hint="eastAsia" w:ascii="楷体" w:hAnsi="楷体" w:eastAsia="楷体" w:cs="Arial"/>
          <w:color w:val="666666"/>
          <w:kern w:val="0"/>
          <w:sz w:val="27"/>
          <w:szCs w:val="27"/>
          <w:shd w:val="clear" w:color="auto" w:fill="FFFFFF"/>
          <w:lang w:val="en-US" w:eastAsia="zh-CN"/>
        </w:rPr>
      </w:pPr>
      <w:r>
        <w:rPr>
          <w:rFonts w:hint="eastAsia" w:ascii="楷体" w:hAnsi="楷体" w:eastAsia="楷体" w:cs="Arial"/>
          <w:color w:val="666666"/>
          <w:kern w:val="0"/>
          <w:sz w:val="27"/>
          <w:szCs w:val="27"/>
          <w:shd w:val="clear" w:color="auto" w:fill="FFFFFF"/>
          <w:lang w:val="en-US" w:eastAsia="zh-CN"/>
        </w:rPr>
        <w:t>3.信阳市浉河区城市社会经济调查队</w:t>
      </w:r>
    </w:p>
    <w:p>
      <w:pPr>
        <w:widowControl/>
        <w:ind w:firstLine="540" w:firstLineChars="200"/>
        <w:jc w:val="left"/>
        <w:rPr>
          <w:rFonts w:hint="default" w:ascii="楷体" w:hAnsi="楷体" w:eastAsia="楷体" w:cs="Arial"/>
          <w:color w:val="666666"/>
          <w:kern w:val="0"/>
          <w:sz w:val="27"/>
          <w:szCs w:val="27"/>
          <w:shd w:val="clear" w:color="auto" w:fill="FFFFFF"/>
          <w:lang w:val="en-US" w:eastAsia="zh-CN"/>
        </w:rPr>
      </w:pPr>
      <w:r>
        <w:rPr>
          <w:rFonts w:hint="eastAsia" w:ascii="楷体" w:hAnsi="楷体" w:eastAsia="楷体" w:cs="Arial"/>
          <w:color w:val="666666"/>
          <w:kern w:val="0"/>
          <w:sz w:val="27"/>
          <w:szCs w:val="27"/>
          <w:shd w:val="clear" w:color="auto" w:fill="FFFFFF"/>
          <w:lang w:val="en-US" w:eastAsia="zh-CN"/>
        </w:rPr>
        <w:t>4.信阳市浉河区普查中心</w:t>
      </w:r>
    </w:p>
    <w:p>
      <w:pPr>
        <w:widowControl/>
        <w:jc w:val="left"/>
        <w:rPr>
          <w:rFonts w:hint="eastAsia" w:ascii="Arial" w:hAnsi="Arial" w:eastAsia="宋体" w:cs="Arial"/>
          <w:color w:val="666666"/>
          <w:kern w:val="0"/>
          <w:szCs w:val="21"/>
          <w:lang w:eastAsia="zh-CN"/>
        </w:rPr>
      </w:pP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第二部分</w:t>
      </w: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信阳市</w:t>
      </w:r>
      <w:r>
        <w:rPr>
          <w:rFonts w:hint="eastAsia" w:ascii="楷体" w:hAnsi="楷体" w:eastAsia="楷体" w:cs="Arial"/>
          <w:b/>
          <w:bCs/>
          <w:color w:val="666666"/>
          <w:kern w:val="0"/>
          <w:sz w:val="27"/>
          <w:szCs w:val="27"/>
          <w:lang w:eastAsia="zh-CN"/>
        </w:rPr>
        <w:t>浉河区统计局</w:t>
      </w:r>
      <w:r>
        <w:rPr>
          <w:rFonts w:hint="eastAsia" w:ascii="楷体" w:hAnsi="楷体" w:eastAsia="楷体" w:cs="Arial"/>
          <w:b/>
          <w:bCs/>
          <w:color w:val="666666"/>
          <w:kern w:val="0"/>
          <w:sz w:val="27"/>
          <w:szCs w:val="27"/>
        </w:rPr>
        <w:t>2021年度部门预算情况说明</w:t>
      </w:r>
    </w:p>
    <w:p>
      <w:pPr>
        <w:widowControl/>
        <w:shd w:val="clear" w:color="auto" w:fill="FFFFFF"/>
        <w:jc w:val="center"/>
        <w:rPr>
          <w:rFonts w:ascii="Arial" w:hAnsi="Arial" w:eastAsia="宋体" w:cs="Arial"/>
          <w:color w:val="666666"/>
          <w:kern w:val="0"/>
          <w:szCs w:val="21"/>
        </w:rPr>
      </w:pPr>
      <w:r>
        <w:rPr>
          <w:rFonts w:ascii="Arial" w:hAnsi="Arial" w:eastAsia="宋体" w:cs="Arial"/>
          <w:color w:val="666666"/>
          <w:kern w:val="0"/>
          <w:szCs w:val="21"/>
        </w:rPr>
        <w:t> </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一、收入支出预算总体情况说明</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浉河区统计局2021年度包括本级预算和所属单位预算在内的汇总预算收入总计596.8万元，与2020年相比，总计减少142.1万元，</w:t>
      </w:r>
      <w:r>
        <w:rPr>
          <w:rFonts w:hint="eastAsia" w:ascii="楷体" w:hAnsi="楷体" w:eastAsia="楷体" w:cs="Arial"/>
          <w:color w:val="666666"/>
          <w:kern w:val="0"/>
          <w:sz w:val="27"/>
          <w:szCs w:val="27"/>
          <w:shd w:val="clear" w:color="auto" w:fill="FFFFFF"/>
          <w:lang w:val="en-US" w:eastAsia="zh-CN"/>
        </w:rPr>
        <w:t>降</w:t>
      </w:r>
      <w:r>
        <w:rPr>
          <w:rFonts w:hint="eastAsia" w:ascii="楷体" w:hAnsi="楷体" w:eastAsia="楷体" w:cs="Arial"/>
          <w:color w:val="666666"/>
          <w:kern w:val="0"/>
          <w:sz w:val="27"/>
          <w:szCs w:val="27"/>
          <w:shd w:val="clear" w:color="auto" w:fill="FFFFFF"/>
          <w:lang w:eastAsia="zh-CN"/>
        </w:rPr>
        <w:t>幅 19.2 %。主要减少项目支出，增加基本支出。</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二、收入预算总体情况说明</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2021年度包括本级预算和所属单位预算在内的汇总预算财政拨款收入总计 596.8万元，占全部预算的100%，与2020年相比，总计减少142.1万元，降幅19.2 %; 政府性基金收入0万元；专户管理的教育收费0万元;其他收入0万元，部门结转资金0万元。</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三、支出预算总体情况说明</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2021年度支出合计596.8万元，其中：基本支出492.1万元，占82.5 %；项目支出 104.7万元，占17.5%。</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四、财政拨款收入支出预算总体情况说明</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浉河区统计局2021年财政拨款收支预算596.8万元。与2020年相比，总计减少142.1万元，降幅19.2%。主要减少项目支出，增加基本支出。</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五、一般公共预算支出预算情况说明</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2021一般公共预算财政拨款支出596.8万元，占支出合计的100%。与2020年相比，一般公共预算财政拨款支出减少142.1万元，降幅19.2%。</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六、一般公共预算基本支出预算情况说明</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按功能分类，基本支出492.1万元，占全部预算的82.5%，其中工资福利支出 394.6万元，商品服务支出71.6万元；项目支出合计104.7万元，占17.5%，其中专项统计业务支出 59.6万元，统计抽样调查支出45.1万元。</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按经济分类，人员经费支出 381.3万元，占77.5%；公用经费支出110.9万元，占22.5%；</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七、政府性基金预算支出预算情况说明</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我局2021年无使用政府性基金预算拨款安排的支出。</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八、 “三公”经费支出预算情况说明</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我局</w:t>
      </w:r>
      <w:r>
        <w:rPr>
          <w:rFonts w:hint="eastAsia" w:ascii="楷体" w:hAnsi="楷体" w:eastAsia="楷体" w:cs="Arial"/>
          <w:color w:val="666666"/>
          <w:kern w:val="0"/>
          <w:sz w:val="27"/>
          <w:szCs w:val="27"/>
          <w:shd w:val="clear" w:color="auto" w:fill="FFFFFF"/>
          <w:lang w:eastAsia="zh-CN"/>
        </w:rPr>
        <w:t>2021年</w:t>
      </w:r>
      <w:r>
        <w:rPr>
          <w:rFonts w:hint="eastAsia" w:ascii="楷体" w:hAnsi="楷体" w:eastAsia="楷体" w:cs="Arial"/>
          <w:color w:val="666666"/>
          <w:kern w:val="0"/>
          <w:sz w:val="27"/>
          <w:szCs w:val="27"/>
          <w:shd w:val="clear" w:color="auto" w:fill="FFFFFF"/>
        </w:rPr>
        <w:t>度“三公”经费财政拨款支出预算为</w:t>
      </w:r>
      <w:r>
        <w:rPr>
          <w:rFonts w:hint="eastAsia" w:ascii="楷体" w:hAnsi="楷体" w:eastAsia="楷体" w:cs="Arial"/>
          <w:color w:val="666666"/>
          <w:kern w:val="0"/>
          <w:sz w:val="27"/>
          <w:szCs w:val="27"/>
          <w:shd w:val="clear" w:color="auto" w:fill="FFFFFF"/>
          <w:lang w:val="en-US" w:eastAsia="zh-CN"/>
        </w:rPr>
        <w:t xml:space="preserve">3 </w:t>
      </w:r>
      <w:r>
        <w:rPr>
          <w:rFonts w:hint="eastAsia" w:ascii="楷体" w:hAnsi="楷体" w:eastAsia="楷体" w:cs="Arial"/>
          <w:color w:val="666666"/>
          <w:kern w:val="0"/>
          <w:sz w:val="27"/>
          <w:szCs w:val="27"/>
          <w:shd w:val="clear" w:color="auto" w:fill="FFFFFF"/>
        </w:rPr>
        <w:t>万元，</w:t>
      </w:r>
      <w:r>
        <w:rPr>
          <w:rFonts w:hint="eastAsia" w:ascii="楷体" w:hAnsi="楷体" w:eastAsia="楷体" w:cs="Arial"/>
          <w:color w:val="666666"/>
          <w:kern w:val="0"/>
          <w:sz w:val="27"/>
          <w:szCs w:val="27"/>
          <w:shd w:val="clear" w:color="auto" w:fill="FFFFFF"/>
          <w:lang w:val="en-US" w:eastAsia="zh-CN"/>
        </w:rPr>
        <w:t>较2020年预算减少 0.1万元，降幅5 %。</w:t>
      </w:r>
      <w:r>
        <w:rPr>
          <w:rFonts w:hint="eastAsia" w:ascii="楷体" w:hAnsi="楷体" w:eastAsia="楷体" w:cs="Arial"/>
          <w:color w:val="666666"/>
          <w:kern w:val="0"/>
          <w:sz w:val="27"/>
          <w:szCs w:val="27"/>
          <w:shd w:val="clear" w:color="auto" w:fill="FFFFFF"/>
        </w:rPr>
        <w:t>公务用车购置及运行费支出</w:t>
      </w:r>
      <w:r>
        <w:rPr>
          <w:rFonts w:hint="eastAsia" w:ascii="楷体" w:hAnsi="楷体" w:eastAsia="楷体" w:cs="Arial"/>
          <w:color w:val="666666"/>
          <w:kern w:val="0"/>
          <w:sz w:val="27"/>
          <w:szCs w:val="27"/>
          <w:shd w:val="clear" w:color="auto" w:fill="FFFFFF"/>
          <w:lang w:val="en-US" w:eastAsia="zh-CN"/>
        </w:rPr>
        <w:t>预</w:t>
      </w:r>
      <w:r>
        <w:rPr>
          <w:rFonts w:hint="eastAsia" w:ascii="楷体" w:hAnsi="楷体" w:eastAsia="楷体" w:cs="Arial"/>
          <w:color w:val="666666"/>
          <w:kern w:val="0"/>
          <w:sz w:val="27"/>
          <w:szCs w:val="27"/>
          <w:shd w:val="clear" w:color="auto" w:fill="FFFFFF"/>
        </w:rPr>
        <w:t>算为</w:t>
      </w:r>
      <w:r>
        <w:rPr>
          <w:rFonts w:hint="eastAsia" w:ascii="楷体" w:hAnsi="楷体" w:eastAsia="楷体" w:cs="Arial"/>
          <w:color w:val="666666"/>
          <w:kern w:val="0"/>
          <w:sz w:val="27"/>
          <w:szCs w:val="27"/>
          <w:shd w:val="clear" w:color="auto" w:fill="FFFFFF"/>
          <w:lang w:val="en-US" w:eastAsia="zh-CN"/>
        </w:rPr>
        <w:t>0.0</w:t>
      </w:r>
      <w:r>
        <w:rPr>
          <w:rFonts w:hint="eastAsia" w:ascii="楷体" w:hAnsi="楷体" w:eastAsia="楷体" w:cs="Arial"/>
          <w:color w:val="666666"/>
          <w:kern w:val="0"/>
          <w:sz w:val="27"/>
          <w:szCs w:val="27"/>
          <w:shd w:val="clear" w:color="auto" w:fill="FFFFFF"/>
        </w:rPr>
        <w:t>万元；公务接待费支出</w:t>
      </w:r>
      <w:r>
        <w:rPr>
          <w:rFonts w:hint="eastAsia" w:ascii="楷体" w:hAnsi="楷体" w:eastAsia="楷体" w:cs="Arial"/>
          <w:color w:val="666666"/>
          <w:kern w:val="0"/>
          <w:sz w:val="27"/>
          <w:szCs w:val="27"/>
          <w:shd w:val="clear" w:color="auto" w:fill="FFFFFF"/>
          <w:lang w:val="en-US" w:eastAsia="zh-CN"/>
        </w:rPr>
        <w:t>预</w:t>
      </w:r>
      <w:r>
        <w:rPr>
          <w:rFonts w:hint="eastAsia" w:ascii="楷体" w:hAnsi="楷体" w:eastAsia="楷体" w:cs="Arial"/>
          <w:color w:val="666666"/>
          <w:kern w:val="0"/>
          <w:sz w:val="27"/>
          <w:szCs w:val="27"/>
          <w:shd w:val="clear" w:color="auto" w:fill="FFFFFF"/>
        </w:rPr>
        <w:t>算为</w:t>
      </w:r>
      <w:r>
        <w:rPr>
          <w:rFonts w:hint="eastAsia" w:ascii="楷体" w:hAnsi="楷体" w:eastAsia="楷体" w:cs="Arial"/>
          <w:color w:val="666666"/>
          <w:kern w:val="0"/>
          <w:sz w:val="27"/>
          <w:szCs w:val="27"/>
          <w:shd w:val="clear" w:color="auto" w:fill="FFFFFF"/>
          <w:lang w:val="en-US" w:eastAsia="zh-CN"/>
        </w:rPr>
        <w:t>3</w:t>
      </w:r>
      <w:r>
        <w:rPr>
          <w:rFonts w:hint="eastAsia" w:ascii="楷体" w:hAnsi="楷体" w:eastAsia="楷体" w:cs="Arial"/>
          <w:color w:val="666666"/>
          <w:kern w:val="0"/>
          <w:sz w:val="27"/>
          <w:szCs w:val="27"/>
          <w:shd w:val="clear" w:color="auto" w:fill="FFFFFF"/>
        </w:rPr>
        <w:t>万元。</w:t>
      </w:r>
      <w:r>
        <w:rPr>
          <w:rFonts w:hint="eastAsia" w:ascii="楷体" w:hAnsi="楷体" w:eastAsia="楷体" w:cs="Arial"/>
          <w:color w:val="666666"/>
          <w:kern w:val="0"/>
          <w:sz w:val="27"/>
          <w:szCs w:val="27"/>
          <w:shd w:val="clear" w:color="auto" w:fill="FFFFFF"/>
          <w:lang w:eastAsia="zh-CN"/>
        </w:rPr>
        <w:t>2021年</w:t>
      </w:r>
      <w:r>
        <w:rPr>
          <w:rFonts w:hint="eastAsia" w:ascii="楷体" w:hAnsi="楷体" w:eastAsia="楷体" w:cs="Arial"/>
          <w:color w:val="666666"/>
          <w:kern w:val="0"/>
          <w:sz w:val="27"/>
          <w:szCs w:val="27"/>
          <w:shd w:val="clear" w:color="auto" w:fill="FFFFFF"/>
        </w:rPr>
        <w:t>度“三公”经费支出预算数</w:t>
      </w:r>
      <w:r>
        <w:rPr>
          <w:rFonts w:hint="eastAsia" w:ascii="楷体" w:hAnsi="楷体" w:eastAsia="楷体" w:cs="Arial"/>
          <w:color w:val="666666"/>
          <w:kern w:val="0"/>
          <w:sz w:val="27"/>
          <w:szCs w:val="27"/>
          <w:shd w:val="clear" w:color="auto" w:fill="FFFFFF"/>
          <w:lang w:val="en-US" w:eastAsia="zh-CN"/>
        </w:rPr>
        <w:t>减少</w:t>
      </w:r>
      <w:r>
        <w:rPr>
          <w:rFonts w:hint="eastAsia" w:ascii="楷体" w:hAnsi="楷体" w:eastAsia="楷体" w:cs="Arial"/>
          <w:color w:val="666666"/>
          <w:kern w:val="0"/>
          <w:sz w:val="27"/>
          <w:szCs w:val="27"/>
          <w:shd w:val="clear" w:color="auto" w:fill="FFFFFF"/>
        </w:rPr>
        <w:t>的主要原因是</w:t>
      </w:r>
      <w:r>
        <w:rPr>
          <w:rFonts w:hint="eastAsia" w:ascii="楷体" w:hAnsi="楷体" w:eastAsia="楷体" w:cs="Arial"/>
          <w:color w:val="666666"/>
          <w:kern w:val="0"/>
          <w:sz w:val="27"/>
          <w:szCs w:val="27"/>
          <w:shd w:val="clear" w:color="auto" w:fill="FFFFFF"/>
          <w:lang w:val="en-US" w:eastAsia="zh-CN"/>
        </w:rPr>
        <w:t>减少公务接待，厉行节约，压缩不必要开支</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val="en-US" w:eastAsia="zh-CN"/>
        </w:rPr>
        <w:t>严格执行“</w:t>
      </w:r>
      <w:r>
        <w:rPr>
          <w:rFonts w:hint="eastAsia" w:ascii="楷体" w:hAnsi="楷体" w:eastAsia="楷体" w:cs="Arial"/>
          <w:color w:val="666666"/>
          <w:kern w:val="0"/>
          <w:sz w:val="27"/>
          <w:szCs w:val="27"/>
          <w:shd w:val="clear" w:color="auto" w:fill="FFFFFF"/>
        </w:rPr>
        <w:t>同城不吃饭</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lang w:val="en-US" w:eastAsia="zh-CN"/>
        </w:rPr>
        <w:t>等规定</w:t>
      </w:r>
      <w:r>
        <w:rPr>
          <w:rFonts w:hint="eastAsia" w:ascii="楷体" w:hAnsi="楷体" w:eastAsia="楷体" w:cs="Arial"/>
          <w:color w:val="666666"/>
          <w:kern w:val="0"/>
          <w:sz w:val="27"/>
          <w:szCs w:val="27"/>
          <w:shd w:val="clear" w:color="auto" w:fill="FFFFFF"/>
        </w:rPr>
        <w:t>，禁止使用高档烟酒，禁止出入高档酒店进行招待。</w:t>
      </w:r>
      <w:r>
        <w:rPr>
          <w:rFonts w:hint="eastAsia" w:ascii="楷体" w:hAnsi="楷体" w:eastAsia="楷体" w:cs="Arial"/>
          <w:color w:val="666666"/>
          <w:kern w:val="0"/>
          <w:sz w:val="27"/>
          <w:szCs w:val="27"/>
          <w:shd w:val="clear" w:color="auto" w:fill="FFFFFF"/>
          <w:lang w:val="en-US" w:eastAsia="zh-CN"/>
        </w:rPr>
        <w:t>2021年</w:t>
      </w:r>
      <w:r>
        <w:rPr>
          <w:rFonts w:hint="eastAsia" w:ascii="楷体" w:hAnsi="楷体" w:eastAsia="楷体" w:cs="Arial"/>
          <w:color w:val="666666"/>
          <w:kern w:val="0"/>
          <w:sz w:val="27"/>
          <w:szCs w:val="27"/>
          <w:shd w:val="clear" w:color="auto" w:fill="FFFFFF"/>
        </w:rPr>
        <w:t>国内公务接待支出主要用于</w:t>
      </w:r>
      <w:r>
        <w:rPr>
          <w:rFonts w:hint="eastAsia" w:ascii="楷体" w:hAnsi="楷体" w:eastAsia="楷体" w:cs="Arial"/>
          <w:color w:val="666666"/>
          <w:kern w:val="0"/>
          <w:sz w:val="27"/>
          <w:szCs w:val="27"/>
          <w:shd w:val="clear" w:color="auto" w:fill="FFFFFF"/>
          <w:lang w:val="en-US" w:eastAsia="zh-CN"/>
        </w:rPr>
        <w:t>省、市统计局、调查队</w:t>
      </w:r>
      <w:r>
        <w:rPr>
          <w:rFonts w:hint="eastAsia" w:ascii="楷体" w:hAnsi="楷体" w:eastAsia="楷体" w:cs="Arial"/>
          <w:color w:val="666666"/>
          <w:kern w:val="0"/>
          <w:sz w:val="27"/>
          <w:szCs w:val="27"/>
          <w:shd w:val="clear" w:color="auto" w:fill="FFFFFF"/>
        </w:rPr>
        <w:t>来访团组</w:t>
      </w:r>
      <w:r>
        <w:rPr>
          <w:rFonts w:hint="eastAsia" w:ascii="楷体" w:hAnsi="楷体" w:eastAsia="楷体" w:cs="Arial"/>
          <w:color w:val="666666"/>
          <w:kern w:val="0"/>
          <w:sz w:val="27"/>
          <w:szCs w:val="27"/>
          <w:shd w:val="clear" w:color="auto" w:fill="FFFFFF"/>
          <w:lang w:eastAsia="zh-CN"/>
        </w:rPr>
        <w:t>。</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具体支出情况如下：</w:t>
      </w:r>
    </w:p>
    <w:p>
      <w:pPr>
        <w:widowControl/>
        <w:ind w:firstLine="542"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（一）</w:t>
      </w:r>
      <w:r>
        <w:rPr>
          <w:rFonts w:hint="eastAsia" w:ascii="楷体" w:hAnsi="楷体" w:eastAsia="楷体" w:cs="Arial"/>
          <w:b/>
          <w:bCs/>
          <w:color w:val="666666"/>
          <w:kern w:val="0"/>
          <w:sz w:val="27"/>
          <w:szCs w:val="27"/>
          <w:shd w:val="clear" w:color="auto" w:fill="FFFFFF"/>
        </w:rPr>
        <w:t>因公出国（境）费</w:t>
      </w:r>
      <w:r>
        <w:rPr>
          <w:rFonts w:hint="eastAsia" w:ascii="楷体" w:hAnsi="楷体" w:eastAsia="楷体" w:cs="Arial"/>
          <w:b/>
          <w:bCs/>
          <w:color w:val="666666"/>
          <w:kern w:val="0"/>
          <w:sz w:val="27"/>
          <w:szCs w:val="27"/>
          <w:shd w:val="clear" w:color="auto" w:fill="FFFFFF"/>
        </w:rPr>
        <w:t>0</w:t>
      </w:r>
      <w:r>
        <w:rPr>
          <w:rFonts w:hint="eastAsia" w:ascii="楷体" w:hAnsi="楷体" w:eastAsia="楷体" w:cs="Arial"/>
          <w:b/>
          <w:bCs/>
          <w:color w:val="666666"/>
          <w:kern w:val="0"/>
          <w:sz w:val="27"/>
          <w:szCs w:val="27"/>
          <w:shd w:val="clear" w:color="auto" w:fill="FFFFFF"/>
          <w:lang w:val="en-US" w:eastAsia="zh-CN"/>
        </w:rPr>
        <w:t>.00</w:t>
      </w:r>
      <w:r>
        <w:rPr>
          <w:rFonts w:hint="eastAsia" w:ascii="楷体" w:hAnsi="楷体" w:eastAsia="楷体" w:cs="Arial"/>
          <w:b/>
          <w:bCs/>
          <w:color w:val="666666"/>
          <w:kern w:val="0"/>
          <w:sz w:val="27"/>
          <w:szCs w:val="27"/>
          <w:shd w:val="clear" w:color="auto" w:fill="FFFFFF"/>
        </w:rPr>
        <w:t>万元</w:t>
      </w:r>
      <w:r>
        <w:rPr>
          <w:rFonts w:hint="eastAsia" w:ascii="楷体" w:hAnsi="楷体" w:eastAsia="楷体" w:cs="Arial"/>
          <w:b/>
          <w:bCs/>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预算数</w:t>
      </w:r>
      <w:r>
        <w:rPr>
          <w:rFonts w:hint="eastAsia" w:ascii="楷体" w:hAnsi="楷体" w:eastAsia="楷体" w:cs="Arial"/>
          <w:color w:val="666666"/>
          <w:kern w:val="0"/>
          <w:sz w:val="27"/>
          <w:szCs w:val="27"/>
          <w:shd w:val="clear" w:color="auto" w:fill="FFFFFF"/>
          <w:lang w:val="en-US" w:eastAsia="zh-CN"/>
        </w:rPr>
        <w:t>与</w:t>
      </w:r>
      <w:r>
        <w:rPr>
          <w:rFonts w:hint="eastAsia" w:ascii="楷体" w:hAnsi="楷体" w:eastAsia="楷体" w:cs="Arial"/>
          <w:color w:val="666666"/>
          <w:kern w:val="0"/>
          <w:sz w:val="27"/>
          <w:szCs w:val="27"/>
          <w:shd w:val="clear" w:color="auto" w:fill="FFFFFF"/>
        </w:rPr>
        <w:t xml:space="preserve"> 2020年一致。</w:t>
      </w:r>
    </w:p>
    <w:p>
      <w:pPr>
        <w:widowControl/>
        <w:ind w:firstLine="542"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（二）</w:t>
      </w:r>
      <w:r>
        <w:rPr>
          <w:rFonts w:hint="eastAsia" w:ascii="楷体" w:hAnsi="楷体" w:eastAsia="楷体" w:cs="Arial"/>
          <w:b/>
          <w:bCs/>
          <w:color w:val="666666"/>
          <w:kern w:val="0"/>
          <w:sz w:val="27"/>
          <w:szCs w:val="27"/>
          <w:shd w:val="clear" w:color="auto" w:fill="FFFFFF"/>
        </w:rPr>
        <w:t>公务用车购置及运行费</w:t>
      </w:r>
      <w:r>
        <w:rPr>
          <w:rFonts w:hint="eastAsia" w:ascii="楷体" w:hAnsi="楷体" w:eastAsia="楷体" w:cs="Arial"/>
          <w:b/>
          <w:bCs/>
          <w:color w:val="666666"/>
          <w:kern w:val="0"/>
          <w:sz w:val="27"/>
          <w:szCs w:val="27"/>
          <w:shd w:val="clear" w:color="auto" w:fill="FFFFFF"/>
          <w:lang w:val="en-US" w:eastAsia="zh-CN"/>
        </w:rPr>
        <w:t>0.00</w:t>
      </w:r>
      <w:r>
        <w:rPr>
          <w:rFonts w:hint="eastAsia" w:ascii="楷体" w:hAnsi="楷体" w:eastAsia="楷体" w:cs="Arial"/>
          <w:b/>
          <w:bCs/>
          <w:color w:val="666666"/>
          <w:kern w:val="0"/>
          <w:sz w:val="27"/>
          <w:szCs w:val="27"/>
          <w:shd w:val="clear" w:color="auto" w:fill="FFFFFF"/>
        </w:rPr>
        <w:t>万元</w:t>
      </w:r>
      <w:r>
        <w:rPr>
          <w:rFonts w:hint="eastAsia" w:ascii="楷体" w:hAnsi="楷体" w:eastAsia="楷体" w:cs="Arial"/>
          <w:b/>
          <w:bCs/>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其中，公务用车购置费0万元；公务用车运行维护费</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没有公务用车购置计划。</w:t>
      </w:r>
    </w:p>
    <w:p>
      <w:pPr>
        <w:widowControl/>
        <w:ind w:firstLine="542"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（三）公务接待费支出预算为3万元。</w:t>
      </w:r>
      <w:r>
        <w:rPr>
          <w:rFonts w:hint="eastAsia" w:ascii="楷体" w:hAnsi="楷体" w:eastAsia="楷体" w:cs="Arial"/>
          <w:color w:val="666666"/>
          <w:kern w:val="0"/>
          <w:sz w:val="27"/>
          <w:szCs w:val="27"/>
          <w:shd w:val="clear" w:color="auto" w:fill="FFFFFF"/>
        </w:rPr>
        <w:t>2</w:t>
      </w:r>
      <w:r>
        <w:rPr>
          <w:rFonts w:hint="eastAsia" w:ascii="楷体" w:hAnsi="楷体" w:eastAsia="楷体" w:cs="Arial"/>
          <w:color w:val="666666"/>
          <w:kern w:val="0"/>
          <w:sz w:val="27"/>
          <w:szCs w:val="27"/>
          <w:shd w:val="clear" w:color="auto" w:fill="FFFFFF"/>
        </w:rPr>
        <w:t>021年度“三公”经费支出预算数减少的主要原因是减少公务接待，厉行节约，压缩不必要开支。严格执行“同城不吃饭”等规定，禁止使用高档烟酒，禁止出入高档酒店进行招待。2021年国内公务接待支出主要用于省、市统计局、调查队来访团组。</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九、其他重要事项情况说明</w:t>
      </w:r>
    </w:p>
    <w:p>
      <w:pPr>
        <w:widowControl/>
        <w:ind w:firstLine="542" w:firstLineChars="200"/>
        <w:jc w:val="left"/>
        <w:rPr>
          <w:rFonts w:hint="eastAsia" w:ascii="楷体" w:hAnsi="楷体" w:eastAsia="楷体" w:cs="Arial"/>
          <w:b/>
          <w:bCs/>
          <w:color w:val="666666"/>
          <w:kern w:val="0"/>
          <w:sz w:val="27"/>
          <w:szCs w:val="27"/>
          <w:shd w:val="clear" w:color="auto" w:fill="FFFFFF"/>
        </w:rPr>
      </w:pPr>
      <w:r>
        <w:rPr>
          <w:rFonts w:hint="eastAsia" w:ascii="楷体" w:hAnsi="楷体" w:eastAsia="楷体" w:cs="Arial"/>
          <w:b/>
          <w:bCs/>
          <w:color w:val="666666"/>
          <w:kern w:val="0"/>
          <w:sz w:val="27"/>
          <w:szCs w:val="27"/>
          <w:shd w:val="clear" w:color="auto" w:fill="FFFFFF"/>
        </w:rPr>
        <w:t>（一）机关运行经费支出情况</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2021年机关运行经费支出预算</w:t>
      </w:r>
      <w:r>
        <w:rPr>
          <w:rFonts w:hint="eastAsia" w:ascii="楷体" w:hAnsi="楷体" w:eastAsia="楷体" w:cs="Arial"/>
          <w:color w:val="666666"/>
          <w:kern w:val="0"/>
          <w:sz w:val="27"/>
          <w:szCs w:val="27"/>
          <w:shd w:val="clear" w:color="auto" w:fill="FFFFFF"/>
          <w:lang w:val="en-US" w:eastAsia="zh-CN"/>
        </w:rPr>
        <w:t>71.6</w:t>
      </w:r>
      <w:r>
        <w:rPr>
          <w:rFonts w:hint="eastAsia" w:ascii="楷体" w:hAnsi="楷体" w:eastAsia="楷体" w:cs="Arial"/>
          <w:color w:val="666666"/>
          <w:kern w:val="0"/>
          <w:sz w:val="27"/>
          <w:szCs w:val="27"/>
          <w:shd w:val="clear" w:color="auto" w:fill="FFFFFF"/>
        </w:rPr>
        <w:t>万元，主要保障机构正常运转及正常履职需要。</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（二）政府采购支出情况</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2021年没有政府采购预算支出。</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（三）绩效目标设置情况</w:t>
      </w:r>
    </w:p>
    <w:p>
      <w:pPr>
        <w:widowControl/>
        <w:ind w:firstLine="540" w:firstLineChars="200"/>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我局2021年预算项目均按要求编制了绩效目标，从项目产出、项目效益、满意度等方面设置了绩效指标，综合反映项目预期完成的数量、实效、质量，预期达到的社会经济效益、可持续影响以及服务对象满意度等情况。</w:t>
      </w:r>
    </w:p>
    <w:p>
      <w:pPr>
        <w:widowControl/>
        <w:jc w:val="left"/>
        <w:rPr>
          <w:rFonts w:hint="eastAsia" w:ascii="楷体" w:hAnsi="楷体" w:eastAsia="楷体" w:cs="Arial"/>
          <w:b/>
          <w:bCs/>
          <w:color w:val="666666"/>
          <w:kern w:val="0"/>
          <w:sz w:val="27"/>
          <w:szCs w:val="27"/>
          <w:shd w:val="clear" w:color="auto" w:fill="FFFFFF"/>
          <w:lang w:eastAsia="zh-CN"/>
        </w:rPr>
      </w:pPr>
      <w:r>
        <w:rPr>
          <w:rFonts w:hint="eastAsia" w:ascii="楷体" w:hAnsi="楷体" w:eastAsia="楷体" w:cs="Arial"/>
          <w:b/>
          <w:bCs/>
          <w:color w:val="666666"/>
          <w:kern w:val="0"/>
          <w:sz w:val="27"/>
          <w:szCs w:val="27"/>
          <w:shd w:val="clear" w:color="auto" w:fill="FFFFFF"/>
        </w:rPr>
        <w:t>（四）国有资产占用情况。</w:t>
      </w:r>
    </w:p>
    <w:p>
      <w:pPr>
        <w:widowControl/>
        <w:ind w:firstLine="540" w:firstLineChars="200"/>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（1）截至2020年末，公务用车编制数、公务用车实有数均为0。</w:t>
      </w:r>
    </w:p>
    <w:p>
      <w:pPr>
        <w:widowControl/>
        <w:ind w:firstLine="540" w:firstLineChars="200"/>
        <w:jc w:val="left"/>
        <w:rPr>
          <w:rFonts w:hint="eastAsia" w:ascii="楷体" w:hAnsi="楷体" w:eastAsia="楷体" w:cs="Arial"/>
          <w:color w:val="666666"/>
          <w:kern w:val="0"/>
          <w:sz w:val="27"/>
          <w:szCs w:val="27"/>
          <w:shd w:val="clear" w:color="auto" w:fill="FFFFFF"/>
        </w:rPr>
      </w:pPr>
      <w:bookmarkStart w:id="0" w:name="_GoBack"/>
      <w:bookmarkEnd w:id="0"/>
      <w:r>
        <w:rPr>
          <w:rFonts w:hint="eastAsia" w:ascii="楷体" w:hAnsi="楷体" w:eastAsia="楷体" w:cs="Arial"/>
          <w:color w:val="666666"/>
          <w:kern w:val="0"/>
          <w:sz w:val="27"/>
          <w:szCs w:val="27"/>
          <w:shd w:val="clear" w:color="auto" w:fill="FFFFFF"/>
        </w:rPr>
        <w:t>（2）房屋面积400平方米，全部为行政用房。</w:t>
      </w:r>
    </w:p>
    <w:p>
      <w:pPr>
        <w:widowControl/>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主要办公设备包括服务器1台，计算机51台，复印机1台，各式打印机18台，单价50万元以上通用设备0套，单位价值100万元以上专用设备0套。</w:t>
      </w:r>
    </w:p>
    <w:p>
      <w:pPr>
        <w:widowControl/>
        <w:jc w:val="left"/>
        <w:rPr>
          <w:rFonts w:hint="eastAsia" w:ascii="楷体" w:hAnsi="楷体" w:eastAsia="楷体" w:cs="Arial"/>
          <w:color w:val="666666"/>
          <w:kern w:val="0"/>
          <w:sz w:val="27"/>
          <w:szCs w:val="27"/>
          <w:shd w:val="clear" w:color="auto" w:fill="FFFFFF"/>
          <w:lang w:eastAsia="zh-CN"/>
        </w:rPr>
      </w:pPr>
    </w:p>
    <w:p>
      <w:pPr>
        <w:widowControl/>
        <w:jc w:val="left"/>
        <w:rPr>
          <w:rFonts w:hint="eastAsia" w:ascii="Arial" w:hAnsi="Arial" w:eastAsia="宋体" w:cs="Arial"/>
          <w:color w:val="666666"/>
          <w:kern w:val="0"/>
          <w:szCs w:val="21"/>
          <w:lang w:eastAsia="zh-CN"/>
        </w:rPr>
      </w:pP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第三部分</w:t>
      </w:r>
    </w:p>
    <w:p>
      <w:pPr>
        <w:widowControl/>
        <w:shd w:val="clear" w:color="auto" w:fill="FFFFFF"/>
        <w:jc w:val="center"/>
        <w:rPr>
          <w:rFonts w:hint="eastAsia" w:ascii="楷体" w:hAnsi="楷体" w:eastAsia="楷体" w:cs="Arial"/>
          <w:b/>
          <w:bCs/>
          <w:color w:val="666666"/>
          <w:kern w:val="0"/>
          <w:sz w:val="27"/>
          <w:szCs w:val="27"/>
          <w:lang w:eastAsia="zh-CN"/>
        </w:rPr>
      </w:pPr>
      <w:r>
        <w:rPr>
          <w:rFonts w:hint="eastAsia" w:ascii="楷体" w:hAnsi="楷体" w:eastAsia="楷体" w:cs="Arial"/>
          <w:b/>
          <w:bCs/>
          <w:color w:val="666666"/>
          <w:kern w:val="0"/>
          <w:sz w:val="27"/>
          <w:szCs w:val="27"/>
        </w:rPr>
        <w:t>名词解释</w:t>
      </w:r>
    </w:p>
    <w:p>
      <w:pPr>
        <w:widowControl/>
        <w:shd w:val="clear" w:color="auto" w:fill="FFFFFF"/>
        <w:jc w:val="center"/>
        <w:rPr>
          <w:rFonts w:ascii="Arial" w:hAnsi="Arial" w:eastAsia="宋体" w:cs="Arial"/>
          <w:color w:val="666666"/>
          <w:kern w:val="0"/>
          <w:szCs w:val="21"/>
        </w:rPr>
      </w:pPr>
      <w:r>
        <w:rPr>
          <w:rFonts w:ascii="Arial" w:hAnsi="Arial" w:eastAsia="宋体" w:cs="Arial"/>
          <w:color w:val="666666"/>
          <w:kern w:val="0"/>
          <w:szCs w:val="21"/>
        </w:rPr>
        <w:t> </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一、财政拨款收入：是指省级财政当年拨付的资金。</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二、事业收入：是指事业单位开展专业活动及辅助活动所取 得的收入。</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三、其他收入：是指部门取得的除“财政拨款”、“事业收入”、“事业单位经营收入”等以外的收入。</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五、基本支出：是指为保障机构正常运转、完成日常工作任务所必需的开支，其内容包括人员经费和日常公用经费两部分。</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六、项目支出：是指在基本支出之外，为完成特定的行政工作任务或事业发展目标所发生的支出。</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九、医疗保障政策管理：反映医疗保障待遇管理、医药服务管理、医药价格和招标采购管理、医疗保障基金监管等支出。</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十、医疗保障经办事务：医保基金核算、精算、参保登记、权益记录、转移接续等医疗保障经办支出。</w:t>
      </w:r>
    </w:p>
    <w:p>
      <w:pPr>
        <w:rPr>
          <w:rFonts w:hint="eastAsia" w:ascii="Calibri" w:hAnsi="Calibri" w:eastAsia="楷体" w:cs="Calibri"/>
          <w:color w:val="666666"/>
          <w:kern w:val="0"/>
          <w:sz w:val="27"/>
          <w:szCs w:val="27"/>
          <w:shd w:val="clear" w:color="auto" w:fill="FFFFFF"/>
          <w:lang w:eastAsia="zh-CN"/>
        </w:rPr>
      </w:pPr>
      <w:r>
        <w:rPr>
          <w:rFonts w:ascii="Calibri" w:hAnsi="Calibri" w:eastAsia="楷体" w:cs="Calibri"/>
          <w:color w:val="666666"/>
          <w:kern w:val="0"/>
          <w:sz w:val="27"/>
          <w:szCs w:val="27"/>
          <w:shd w:val="clear" w:color="auto" w:fill="FFFFFF"/>
        </w:rPr>
        <w:t> </w:t>
      </w:r>
    </w:p>
    <w:p>
      <w:pPr>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附件：</w:t>
      </w:r>
    </w:p>
    <w:p>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浉河区统计局</w:t>
      </w:r>
      <w:r>
        <w:rPr>
          <w:rFonts w:hint="eastAsia" w:ascii="楷体" w:hAnsi="楷体" w:eastAsia="楷体" w:cs="Arial"/>
          <w:color w:val="666666"/>
          <w:kern w:val="0"/>
          <w:sz w:val="27"/>
          <w:szCs w:val="27"/>
          <w:shd w:val="clear" w:color="auto" w:fill="FFFFFF"/>
        </w:rPr>
        <w:t>2021年度部门预算表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E8"/>
    <w:rsid w:val="0055757F"/>
    <w:rsid w:val="00984DE8"/>
    <w:rsid w:val="0A2B17B0"/>
    <w:rsid w:val="1FBB05AF"/>
    <w:rsid w:val="28515199"/>
    <w:rsid w:val="2862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3080</Characters>
  <Lines>25</Lines>
  <Paragraphs>7</Paragraphs>
  <TotalTime>4</TotalTime>
  <ScaleCrop>false</ScaleCrop>
  <LinksUpToDate>false</LinksUpToDate>
  <CharactersWithSpaces>3613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2021-11-03T08:14:00Z</dcterms:created>
  <dc:creator>pp</dc:creator>
  <cp:lastModifiedBy>L，iUV</cp:lastModifiedBy>
  <dcterms:modified xsi:type="dcterms:W3CDTF">2021-11-04T07:05:21Z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6073CB897E90444BB1BDAAE7F56ACDF1</vt:lpwstr>
  </property>
</Properties>
</file>