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52"/>
          <w:szCs w:val="52"/>
          <w:lang w:eastAsia="zh-CN"/>
        </w:rPr>
      </w:pPr>
    </w:p>
    <w:p>
      <w:pPr>
        <w:jc w:val="center"/>
        <w:rPr>
          <w:rFonts w:hint="eastAsia" w:ascii="隶书" w:hAnsi="隶书" w:eastAsia="隶书" w:cs="隶书"/>
          <w:sz w:val="52"/>
          <w:szCs w:val="52"/>
          <w:lang w:eastAsia="zh-CN"/>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信阳市浉河区</w:t>
      </w:r>
      <w:r>
        <w:rPr>
          <w:rFonts w:hint="eastAsia" w:ascii="隶书" w:hAnsi="隶书" w:eastAsia="隶书" w:cs="隶书"/>
          <w:sz w:val="52"/>
          <w:szCs w:val="52"/>
          <w:lang w:val="en-US" w:eastAsia="zh-CN"/>
        </w:rPr>
        <w:t>医疗保障局</w:t>
      </w:r>
    </w:p>
    <w:p>
      <w:pPr>
        <w:jc w:val="center"/>
        <w:rPr>
          <w:rFonts w:ascii="黑体" w:hAnsi="黑体" w:eastAsia="黑体" w:cs="黑体"/>
          <w:sz w:val="52"/>
          <w:szCs w:val="52"/>
        </w:rPr>
      </w:pPr>
    </w:p>
    <w:p>
      <w:pPr>
        <w:jc w:val="center"/>
        <w:rPr>
          <w:rFonts w:hint="eastAsia" w:ascii="隶书" w:hAnsi="隶书" w:eastAsia="隶书" w:cs="隶书"/>
          <w:sz w:val="52"/>
          <w:szCs w:val="52"/>
          <w:lang w:eastAsia="zh-CN"/>
        </w:rPr>
        <w:sectPr>
          <w:pgSz w:w="16838" w:h="11906" w:orient="landscape"/>
          <w:pgMar w:top="1800" w:right="1440" w:bottom="1800" w:left="1440" w:header="851" w:footer="992" w:gutter="0"/>
          <w:pgNumType w:fmt="numberInDash" w:start="1"/>
          <w:cols w:space="425" w:num="1"/>
          <w:docGrid w:type="lines" w:linePitch="312" w:charSpace="0"/>
        </w:sectPr>
      </w:pPr>
      <w:r>
        <w:rPr>
          <w:rFonts w:hint="eastAsia" w:ascii="隶书" w:hAnsi="隶书" w:eastAsia="隶书" w:cs="隶书"/>
          <w:sz w:val="52"/>
          <w:szCs w:val="52"/>
          <w:lang w:val="en-US" w:eastAsia="zh-CN"/>
        </w:rPr>
        <w:t>2021</w:t>
      </w:r>
      <w:r>
        <w:rPr>
          <w:rFonts w:hint="eastAsia" w:ascii="隶书" w:hAnsi="隶书" w:eastAsia="隶书" w:cs="隶书"/>
          <w:sz w:val="52"/>
          <w:szCs w:val="52"/>
        </w:rPr>
        <w:t>年度部门</w:t>
      </w:r>
      <w:r>
        <w:rPr>
          <w:rFonts w:hint="eastAsia" w:ascii="隶书" w:hAnsi="隶书" w:eastAsia="隶书" w:cs="隶书"/>
          <w:sz w:val="52"/>
          <w:szCs w:val="52"/>
          <w:lang w:eastAsia="zh-CN"/>
        </w:rPr>
        <w:t>预</w:t>
      </w:r>
      <w:r>
        <w:rPr>
          <w:rFonts w:hint="eastAsia" w:ascii="隶书" w:hAnsi="隶书" w:eastAsia="隶书" w:cs="隶书"/>
          <w:sz w:val="52"/>
          <w:szCs w:val="52"/>
        </w:rPr>
        <w:t>算</w:t>
      </w:r>
      <w:r>
        <w:rPr>
          <w:rFonts w:hint="eastAsia" w:ascii="隶书" w:hAnsi="隶书" w:eastAsia="隶书" w:cs="隶书"/>
          <w:sz w:val="52"/>
          <w:szCs w:val="52"/>
          <w:lang w:eastAsia="zh-CN"/>
        </w:rPr>
        <w:t>公开情况说明</w:t>
      </w:r>
    </w:p>
    <w:p>
      <w:pPr>
        <w:spacing w:line="220" w:lineRule="atLeas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浉河区</w:t>
      </w:r>
      <w:r>
        <w:rPr>
          <w:rFonts w:hint="eastAsia" w:asciiTheme="minorEastAsia" w:hAnsiTheme="minorEastAsia" w:eastAsiaTheme="minorEastAsia"/>
          <w:b/>
          <w:sz w:val="36"/>
          <w:szCs w:val="36"/>
          <w:lang w:eastAsia="zh-CN"/>
        </w:rPr>
        <w:t>医疗保障局</w:t>
      </w:r>
      <w:r>
        <w:rPr>
          <w:rFonts w:hint="eastAsia" w:asciiTheme="minorEastAsia" w:hAnsiTheme="minorEastAsia" w:eastAsiaTheme="minorEastAsia"/>
          <w:b/>
          <w:sz w:val="36"/>
          <w:szCs w:val="36"/>
          <w:lang w:val="en-US" w:eastAsia="zh-CN"/>
        </w:rPr>
        <w:t>2021年</w:t>
      </w:r>
      <w:r>
        <w:rPr>
          <w:rFonts w:hint="eastAsia" w:asciiTheme="minorEastAsia" w:hAnsiTheme="minorEastAsia" w:eastAsiaTheme="minorEastAsia"/>
          <w:b/>
          <w:sz w:val="36"/>
          <w:szCs w:val="36"/>
        </w:rPr>
        <w:t>部门预算</w:t>
      </w:r>
      <w:r>
        <w:rPr>
          <w:rFonts w:hint="eastAsia" w:asciiTheme="minorEastAsia" w:hAnsiTheme="minorEastAsia" w:eastAsiaTheme="minorEastAsia"/>
          <w:b/>
          <w:sz w:val="36"/>
          <w:szCs w:val="36"/>
          <w:lang w:eastAsia="zh-CN"/>
        </w:rPr>
        <w:t>公开</w:t>
      </w:r>
      <w:r>
        <w:rPr>
          <w:rFonts w:hint="eastAsia" w:asciiTheme="minorEastAsia" w:hAnsiTheme="minorEastAsia" w:eastAsiaTheme="minorEastAsia"/>
          <w:b/>
          <w:sz w:val="36"/>
          <w:szCs w:val="36"/>
        </w:rPr>
        <w:t>基本情况说明</w:t>
      </w:r>
    </w:p>
    <w:p>
      <w:pPr>
        <w:pStyle w:val="5"/>
        <w:numPr>
          <w:ilvl w:val="0"/>
          <w:numId w:val="0"/>
        </w:numPr>
        <w:spacing w:line="220" w:lineRule="atLeast"/>
        <w:ind w:leftChars="0"/>
        <w:rPr>
          <w:rFonts w:hint="eastAsia" w:ascii="仿宋" w:hAnsi="仿宋" w:eastAsia="仿宋" w:cs="仿宋"/>
          <w:sz w:val="30"/>
          <w:szCs w:val="30"/>
        </w:rPr>
      </w:pPr>
      <w:r>
        <w:rPr>
          <w:rFonts w:hint="eastAsia" w:ascii="仿宋" w:hAnsi="仿宋" w:eastAsia="仿宋" w:cs="仿宋"/>
          <w:b/>
          <w:sz w:val="30"/>
          <w:szCs w:val="30"/>
          <w:lang w:val="en-US" w:eastAsia="zh-CN"/>
        </w:rPr>
        <w:t>第一部分 浉河区医保局概况</w:t>
      </w:r>
    </w:p>
    <w:p>
      <w:pPr>
        <w:pStyle w:val="5"/>
        <w:numPr>
          <w:ilvl w:val="0"/>
          <w:numId w:val="0"/>
        </w:numPr>
        <w:spacing w:line="220" w:lineRule="atLeas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主要</w:t>
      </w:r>
      <w:r>
        <w:rPr>
          <w:rFonts w:hint="eastAsia" w:ascii="仿宋" w:hAnsi="仿宋" w:eastAsia="仿宋" w:cs="仿宋"/>
          <w:sz w:val="30"/>
          <w:szCs w:val="30"/>
        </w:rPr>
        <w:t>职能</w:t>
      </w:r>
    </w:p>
    <w:p>
      <w:pPr>
        <w:spacing w:line="220" w:lineRule="atLeast"/>
        <w:rPr>
          <w:rFonts w:hint="default" w:ascii="仿宋" w:hAnsi="仿宋" w:eastAsia="仿宋" w:cs="仿宋"/>
          <w:sz w:val="30"/>
          <w:szCs w:val="30"/>
          <w:lang w:val="en-US" w:eastAsia="zh-CN"/>
        </w:rPr>
      </w:pPr>
      <w:r>
        <w:rPr>
          <w:rFonts w:hint="eastAsia" w:ascii="仿宋" w:hAnsi="仿宋" w:eastAsia="仿宋" w:cs="仿宋"/>
          <w:sz w:val="30"/>
          <w:szCs w:val="30"/>
        </w:rPr>
        <w:t xml:space="preserve">     主要职责是：</w:t>
      </w:r>
      <w:r>
        <w:rPr>
          <w:rFonts w:hint="eastAsia" w:ascii="仿宋" w:hAnsi="仿宋" w:eastAsia="仿宋" w:cs="仿宋"/>
          <w:sz w:val="30"/>
          <w:szCs w:val="30"/>
          <w:lang w:val="en-US" w:eastAsia="zh-CN"/>
        </w:rPr>
        <w:t>完善统一的城乡居民基本医疗保险制度、大病保险制度和困难群众大病补充医疗保险制度，建立健全覆盖全民、城乡统筹的多层次医疗保障体系，不断提高医疗保障水平，确保医保资金合理使用、安全可控，推进医疗、医保、医药“三医联动”改革，更好保障人民群众就医需求、减轻医药费用负担。</w:t>
      </w:r>
    </w:p>
    <w:p>
      <w:pPr>
        <w:pStyle w:val="5"/>
        <w:numPr>
          <w:ilvl w:val="0"/>
          <w:numId w:val="0"/>
        </w:numPr>
        <w:spacing w:line="220" w:lineRule="atLeas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机构设置</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浉河区</w:t>
      </w:r>
      <w:r>
        <w:rPr>
          <w:rFonts w:hint="eastAsia" w:ascii="仿宋" w:hAnsi="仿宋" w:eastAsia="仿宋" w:cs="仿宋"/>
          <w:sz w:val="30"/>
          <w:szCs w:val="30"/>
          <w:lang w:eastAsia="zh-CN"/>
        </w:rPr>
        <w:t>医疗保障局</w:t>
      </w:r>
      <w:r>
        <w:rPr>
          <w:rFonts w:hint="eastAsia" w:ascii="仿宋" w:hAnsi="仿宋" w:eastAsia="仿宋" w:cs="仿宋"/>
          <w:sz w:val="30"/>
          <w:szCs w:val="30"/>
        </w:rPr>
        <w:t>内设</w:t>
      </w:r>
      <w:r>
        <w:rPr>
          <w:rFonts w:hint="eastAsia" w:ascii="仿宋" w:hAnsi="仿宋" w:eastAsia="仿宋" w:cs="仿宋"/>
          <w:sz w:val="30"/>
          <w:szCs w:val="30"/>
          <w:lang w:val="en-US" w:eastAsia="zh-CN"/>
        </w:rPr>
        <w:t>办公室、法规和规划财务股、待遇保障股、医药服务管理股、医药价格和招标采购股、基金监督管理股6</w:t>
      </w:r>
      <w:r>
        <w:rPr>
          <w:rFonts w:hint="eastAsia" w:ascii="仿宋" w:hAnsi="仿宋" w:eastAsia="仿宋" w:cs="仿宋"/>
          <w:sz w:val="30"/>
          <w:szCs w:val="30"/>
        </w:rPr>
        <w:t>个职能科室和</w:t>
      </w:r>
      <w:r>
        <w:rPr>
          <w:rFonts w:hint="eastAsia" w:ascii="仿宋" w:hAnsi="仿宋" w:eastAsia="仿宋" w:cs="仿宋"/>
          <w:sz w:val="30"/>
          <w:szCs w:val="30"/>
          <w:lang w:val="en-US" w:eastAsia="zh-CN"/>
        </w:rPr>
        <w:t>社会医疗保险中心</w:t>
      </w:r>
      <w:r>
        <w:rPr>
          <w:rFonts w:hint="eastAsia" w:ascii="仿宋" w:hAnsi="仿宋" w:eastAsia="仿宋" w:cs="仿宋"/>
          <w:sz w:val="30"/>
          <w:szCs w:val="30"/>
        </w:rPr>
        <w:t>、</w:t>
      </w:r>
      <w:r>
        <w:rPr>
          <w:rFonts w:hint="eastAsia" w:ascii="仿宋" w:hAnsi="仿宋" w:eastAsia="仿宋" w:cs="仿宋"/>
          <w:sz w:val="30"/>
          <w:szCs w:val="30"/>
          <w:lang w:val="en-US" w:eastAsia="zh-CN"/>
        </w:rPr>
        <w:t>城乡居民基本医疗保险中心、医疗保障稽查大队3</w:t>
      </w:r>
      <w:r>
        <w:rPr>
          <w:rFonts w:hint="eastAsia" w:ascii="仿宋" w:hAnsi="仿宋" w:eastAsia="仿宋" w:cs="仿宋"/>
          <w:sz w:val="30"/>
          <w:szCs w:val="30"/>
        </w:rPr>
        <w:t>个归口管理的二级机构。浉河区</w:t>
      </w:r>
      <w:r>
        <w:rPr>
          <w:rFonts w:hint="eastAsia" w:ascii="仿宋" w:hAnsi="仿宋" w:eastAsia="仿宋" w:cs="仿宋"/>
          <w:sz w:val="30"/>
          <w:szCs w:val="30"/>
          <w:lang w:eastAsia="zh-CN"/>
        </w:rPr>
        <w:t>医疗保障局</w:t>
      </w:r>
      <w:r>
        <w:rPr>
          <w:rFonts w:hint="eastAsia" w:ascii="仿宋" w:hAnsi="仿宋" w:eastAsia="仿宋" w:cs="仿宋"/>
          <w:sz w:val="30"/>
          <w:szCs w:val="30"/>
        </w:rPr>
        <w:t>机关及归口管理的二级机构共有编制</w:t>
      </w:r>
      <w:r>
        <w:rPr>
          <w:rFonts w:hint="eastAsia" w:ascii="仿宋" w:hAnsi="仿宋" w:eastAsia="仿宋" w:cs="仿宋"/>
          <w:sz w:val="30"/>
          <w:szCs w:val="30"/>
          <w:lang w:val="en-US" w:eastAsia="zh-CN"/>
        </w:rPr>
        <w:t>72</w:t>
      </w:r>
      <w:r>
        <w:rPr>
          <w:rFonts w:hint="eastAsia" w:ascii="仿宋" w:hAnsi="仿宋" w:eastAsia="仿宋" w:cs="仿宋"/>
          <w:sz w:val="30"/>
          <w:szCs w:val="30"/>
        </w:rPr>
        <w:t>人，其中行政编制</w:t>
      </w:r>
      <w:r>
        <w:rPr>
          <w:rFonts w:hint="eastAsia" w:ascii="仿宋" w:hAnsi="仿宋" w:eastAsia="仿宋" w:cs="仿宋"/>
          <w:sz w:val="30"/>
          <w:szCs w:val="30"/>
          <w:lang w:val="en-US" w:eastAsia="zh-CN"/>
        </w:rPr>
        <w:t>6</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60</w:t>
      </w:r>
      <w:r>
        <w:rPr>
          <w:rFonts w:hint="eastAsia" w:ascii="仿宋" w:hAnsi="仿宋" w:eastAsia="仿宋" w:cs="仿宋"/>
          <w:sz w:val="30"/>
          <w:szCs w:val="30"/>
        </w:rPr>
        <w:t>人,</w:t>
      </w:r>
      <w:r>
        <w:rPr>
          <w:rFonts w:hint="eastAsia" w:ascii="仿宋" w:hAnsi="仿宋" w:eastAsia="仿宋" w:cs="仿宋"/>
          <w:sz w:val="30"/>
          <w:szCs w:val="30"/>
          <w:lang w:val="en-US" w:eastAsia="zh-CN"/>
        </w:rPr>
        <w:t>本年实有在职人数72人</w:t>
      </w:r>
      <w:r>
        <w:rPr>
          <w:rFonts w:hint="eastAsia" w:ascii="仿宋" w:hAnsi="仿宋" w:eastAsia="仿宋" w:cs="仿宋"/>
          <w:sz w:val="30"/>
          <w:szCs w:val="30"/>
        </w:rPr>
        <w:t>。</w:t>
      </w:r>
    </w:p>
    <w:p>
      <w:pPr>
        <w:pStyle w:val="5"/>
        <w:numPr>
          <w:ilvl w:val="0"/>
          <w:numId w:val="0"/>
        </w:numPr>
        <w:spacing w:line="220" w:lineRule="atLeas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ascii="仿宋" w:hAnsi="仿宋" w:eastAsia="仿宋"/>
          <w:sz w:val="30"/>
          <w:szCs w:val="30"/>
        </w:rPr>
        <w:t>部门预算单位构成</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纳入</w:t>
      </w:r>
      <w:r>
        <w:rPr>
          <w:rFonts w:hint="eastAsia" w:ascii="仿宋" w:hAnsi="仿宋" w:eastAsia="仿宋" w:cs="仿宋"/>
          <w:sz w:val="30"/>
          <w:szCs w:val="30"/>
          <w:lang w:eastAsia="zh-CN"/>
        </w:rPr>
        <w:t>浉河区医疗保障局</w:t>
      </w:r>
      <w:r>
        <w:rPr>
          <w:rFonts w:hint="eastAsia" w:ascii="仿宋" w:hAnsi="仿宋" w:eastAsia="仿宋" w:cs="仿宋"/>
          <w:sz w:val="30"/>
          <w:szCs w:val="30"/>
          <w:lang w:val="en-US" w:eastAsia="zh-CN"/>
        </w:rPr>
        <w:t>2021</w:t>
      </w:r>
      <w:r>
        <w:rPr>
          <w:rFonts w:hint="eastAsia" w:ascii="仿宋" w:hAnsi="仿宋" w:eastAsia="仿宋" w:cs="仿宋"/>
          <w:sz w:val="30"/>
          <w:szCs w:val="30"/>
        </w:rPr>
        <w:t>年度部门决算编制范围的单位包括：</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信阳市浉河区医疗保障局</w:t>
      </w:r>
      <w:r>
        <w:rPr>
          <w:rFonts w:hint="eastAsia" w:ascii="仿宋" w:hAnsi="仿宋" w:eastAsia="仿宋" w:cs="仿宋"/>
          <w:sz w:val="30"/>
          <w:szCs w:val="30"/>
        </w:rPr>
        <w:t>本级</w:t>
      </w:r>
    </w:p>
    <w:p>
      <w:pPr>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信阳市浉河区</w:t>
      </w:r>
      <w:r>
        <w:rPr>
          <w:rFonts w:hint="eastAsia" w:ascii="仿宋" w:hAnsi="仿宋" w:eastAsia="仿宋" w:cs="仿宋"/>
          <w:sz w:val="30"/>
          <w:szCs w:val="30"/>
          <w:lang w:val="en-US" w:eastAsia="zh-CN"/>
        </w:rPr>
        <w:t>社会医疗保险中心</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3.信阳市浉河区城乡居民基本医疗保险中心</w:t>
      </w:r>
    </w:p>
    <w:p>
      <w:pPr>
        <w:pStyle w:val="5"/>
        <w:numPr>
          <w:ilvl w:val="0"/>
          <w:numId w:val="0"/>
        </w:numPr>
        <w:spacing w:line="220" w:lineRule="atLeast"/>
        <w:ind w:leftChars="0"/>
        <w:rPr>
          <w:rFonts w:hint="eastAsia" w:ascii="仿宋" w:hAnsi="仿宋" w:eastAsia="仿宋" w:cs="仿宋"/>
          <w:b/>
          <w:sz w:val="30"/>
          <w:szCs w:val="30"/>
          <w:lang w:val="en-US" w:eastAsia="zh-CN"/>
        </w:rPr>
      </w:pPr>
    </w:p>
    <w:p>
      <w:pPr>
        <w:pStyle w:val="5"/>
        <w:numPr>
          <w:ilvl w:val="0"/>
          <w:numId w:val="0"/>
        </w:numPr>
        <w:spacing w:line="220" w:lineRule="atLeast"/>
        <w:ind w:leftChars="0"/>
        <w:rPr>
          <w:rFonts w:hint="eastAsia" w:ascii="仿宋" w:hAnsi="仿宋" w:eastAsia="仿宋" w:cs="仿宋"/>
          <w:b/>
          <w:sz w:val="30"/>
          <w:szCs w:val="30"/>
          <w:lang w:val="en-US" w:eastAsia="zh-CN"/>
        </w:rPr>
      </w:pPr>
    </w:p>
    <w:p>
      <w:pPr>
        <w:pStyle w:val="5"/>
        <w:numPr>
          <w:ilvl w:val="0"/>
          <w:numId w:val="0"/>
        </w:numPr>
        <w:spacing w:line="220" w:lineRule="atLeast"/>
        <w:ind w:leftChars="0"/>
        <w:rPr>
          <w:rFonts w:hint="eastAsia" w:ascii="仿宋" w:hAnsi="仿宋" w:eastAsia="仿宋" w:cs="仿宋"/>
          <w:sz w:val="30"/>
          <w:szCs w:val="30"/>
          <w:lang w:val="en-US" w:eastAsia="zh-CN"/>
        </w:rPr>
      </w:pPr>
      <w:r>
        <w:rPr>
          <w:rFonts w:hint="eastAsia" w:ascii="仿宋" w:hAnsi="仿宋" w:eastAsia="仿宋" w:cs="仿宋"/>
          <w:b/>
          <w:sz w:val="30"/>
          <w:szCs w:val="30"/>
          <w:lang w:val="en-US" w:eastAsia="zh-CN"/>
        </w:rPr>
        <w:t>第二部分 浉河区医保局2021年度部门预算情况说明</w:t>
      </w:r>
    </w:p>
    <w:p>
      <w:pPr>
        <w:pStyle w:val="5"/>
        <w:numPr>
          <w:ilvl w:val="0"/>
          <w:numId w:val="0"/>
        </w:numPr>
        <w:spacing w:line="220" w:lineRule="atLeast"/>
        <w:ind w:leftChars="0"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一、收入、支出预算总体情况说明</w:t>
      </w:r>
    </w:p>
    <w:p>
      <w:pPr>
        <w:pStyle w:val="5"/>
        <w:numPr>
          <w:ilvl w:val="0"/>
          <w:numId w:val="0"/>
        </w:numPr>
        <w:spacing w:line="220" w:lineRule="atLeast"/>
        <w:ind w:leftChars="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lang w:val="en-US" w:eastAsia="zh-CN"/>
        </w:rPr>
        <w:t xml:space="preserve">  1、2021年度预算收入</w:t>
      </w:r>
      <w:r>
        <w:rPr>
          <w:rFonts w:hint="eastAsia" w:ascii="仿宋" w:hAnsi="仿宋" w:eastAsia="仿宋" w:cs="仿宋"/>
          <w:color w:val="auto"/>
          <w:sz w:val="30"/>
          <w:szCs w:val="30"/>
          <w:highlight w:val="none"/>
          <w:lang w:val="en-US" w:eastAsia="zh-CN"/>
        </w:rPr>
        <w:t>25471.15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比上年预算收入增加1858.35万元，增加7.9%。系医疗救助和一般性项目增加以及工资福利方面预算收入的增加。2021年度预算支出25471.15万元，比上年支出预算增加7.9%，系医疗救助和一般性项目支出增加以及工资福利方面预算支出的增加。</w:t>
      </w:r>
    </w:p>
    <w:p>
      <w:pPr>
        <w:pStyle w:val="5"/>
        <w:numPr>
          <w:ilvl w:val="0"/>
          <w:numId w:val="0"/>
        </w:numPr>
        <w:spacing w:line="220" w:lineRule="atLeast"/>
        <w:ind w:leftChars="0" w:firstLine="900" w:firstLineChars="3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sz w:val="30"/>
          <w:szCs w:val="30"/>
          <w:lang w:val="en-US" w:eastAsia="zh-CN"/>
        </w:rPr>
        <w:t>2021年度预算收入</w:t>
      </w:r>
      <w:r>
        <w:rPr>
          <w:rFonts w:hint="eastAsia" w:ascii="仿宋" w:hAnsi="仿宋" w:eastAsia="仿宋" w:cs="仿宋"/>
          <w:color w:val="auto"/>
          <w:sz w:val="30"/>
          <w:szCs w:val="30"/>
          <w:highlight w:val="none"/>
          <w:lang w:val="en-US" w:eastAsia="zh-CN"/>
        </w:rPr>
        <w:t>25471.15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系财政拨款收入25471.15，比上年预算收入增加1858.35万元，增加7.9%，主要为医疗救助和一般性项目增加以及工资福利方面预算收入的增加。</w:t>
      </w:r>
    </w:p>
    <w:p>
      <w:pPr>
        <w:pStyle w:val="5"/>
        <w:numPr>
          <w:ilvl w:val="0"/>
          <w:numId w:val="0"/>
        </w:numPr>
        <w:spacing w:line="220" w:lineRule="atLeast"/>
        <w:ind w:leftChars="0" w:firstLine="900" w:firstLineChars="3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sz w:val="30"/>
          <w:szCs w:val="30"/>
          <w:lang w:val="en-US" w:eastAsia="zh-CN"/>
        </w:rPr>
        <w:t>2021年度预算支出</w:t>
      </w:r>
      <w:r>
        <w:rPr>
          <w:rFonts w:hint="eastAsia" w:ascii="仿宋" w:hAnsi="仿宋" w:eastAsia="仿宋" w:cs="仿宋"/>
          <w:color w:val="auto"/>
          <w:sz w:val="30"/>
          <w:szCs w:val="30"/>
          <w:highlight w:val="none"/>
          <w:lang w:val="en-US" w:eastAsia="zh-CN"/>
        </w:rPr>
        <w:t>25471.15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比上年财政拨款预算支出增加1858.35万元，增加7.9%，系医疗救助和一般性项目支出增加以及工资福利方面预算支出的增加。</w:t>
      </w:r>
    </w:p>
    <w:p>
      <w:pPr>
        <w:pStyle w:val="5"/>
        <w:numPr>
          <w:ilvl w:val="0"/>
          <w:numId w:val="0"/>
        </w:numPr>
        <w:spacing w:line="220" w:lineRule="atLeast"/>
        <w:ind w:leftChars="0" w:firstLine="600" w:firstLineChars="200"/>
        <w:rPr>
          <w:rFonts w:hint="eastAsia" w:ascii="黑体" w:hAnsi="黑体" w:eastAsia="黑体" w:cs="黑体"/>
          <w:sz w:val="30"/>
          <w:szCs w:val="30"/>
          <w:lang w:val="en-US"/>
        </w:rPr>
      </w:pPr>
      <w:r>
        <w:rPr>
          <w:rFonts w:hint="eastAsia" w:ascii="黑体" w:hAnsi="黑体" w:eastAsia="黑体" w:cs="黑体"/>
          <w:sz w:val="30"/>
          <w:szCs w:val="30"/>
          <w:lang w:val="en-US" w:eastAsia="zh-CN"/>
        </w:rPr>
        <w:t>二、收入预算情况说明</w:t>
      </w:r>
    </w:p>
    <w:p>
      <w:pPr>
        <w:spacing w:line="220" w:lineRule="atLeast"/>
        <w:ind w:firstLine="600" w:firstLineChars="200"/>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lang w:val="en-US" w:eastAsia="zh-CN"/>
        </w:rPr>
        <w:t>2021</w:t>
      </w:r>
      <w:r>
        <w:rPr>
          <w:rFonts w:hint="eastAsia" w:ascii="仿宋" w:hAnsi="仿宋" w:eastAsia="仿宋" w:cs="仿宋"/>
          <w:color w:val="auto"/>
          <w:sz w:val="30"/>
          <w:szCs w:val="30"/>
          <w:highlight w:val="none"/>
        </w:rPr>
        <w:t>年预算收入</w:t>
      </w:r>
      <w:r>
        <w:rPr>
          <w:rFonts w:hint="eastAsia" w:ascii="仿宋" w:hAnsi="仿宋" w:eastAsia="仿宋" w:cs="仿宋"/>
          <w:color w:val="auto"/>
          <w:sz w:val="30"/>
          <w:szCs w:val="30"/>
          <w:highlight w:val="none"/>
          <w:lang w:val="en-US" w:eastAsia="zh-CN"/>
        </w:rPr>
        <w:t>25471.15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系</w:t>
      </w:r>
      <w:r>
        <w:rPr>
          <w:rFonts w:hint="eastAsia" w:ascii="仿宋" w:hAnsi="仿宋" w:eastAsia="仿宋" w:cs="仿宋"/>
          <w:color w:val="auto"/>
          <w:sz w:val="30"/>
          <w:szCs w:val="30"/>
          <w:highlight w:val="none"/>
          <w:lang w:eastAsia="zh-CN"/>
        </w:rPr>
        <w:t>一般公共预算财政拨款</w:t>
      </w:r>
      <w:r>
        <w:rPr>
          <w:rFonts w:hint="eastAsia" w:ascii="仿宋" w:hAnsi="仿宋" w:eastAsia="仿宋" w:cs="仿宋"/>
          <w:color w:val="auto"/>
          <w:sz w:val="30"/>
          <w:szCs w:val="30"/>
          <w:highlight w:val="none"/>
          <w:lang w:val="en-US" w:eastAsia="zh-CN"/>
        </w:rPr>
        <w:t>收入25471.15万元。其中财政拨款25471.15万元，比上年收入预算增加1858.35万元，增加7.9%，系医疗救助和一般性项目增加以及工资福利方面预算收入的增加。</w:t>
      </w:r>
    </w:p>
    <w:p>
      <w:pPr>
        <w:pStyle w:val="5"/>
        <w:numPr>
          <w:ilvl w:val="0"/>
          <w:numId w:val="0"/>
        </w:numPr>
        <w:spacing w:line="220" w:lineRule="atLeast"/>
        <w:ind w:leftChars="0"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rPr>
        <w:t>支出预算</w:t>
      </w:r>
      <w:r>
        <w:rPr>
          <w:rFonts w:hint="eastAsia" w:ascii="黑体" w:hAnsi="黑体" w:eastAsia="黑体" w:cs="黑体"/>
          <w:b w:val="0"/>
          <w:bCs/>
          <w:sz w:val="30"/>
          <w:szCs w:val="30"/>
          <w:lang w:eastAsia="zh-CN"/>
        </w:rPr>
        <w:t>情况</w:t>
      </w:r>
      <w:r>
        <w:rPr>
          <w:rFonts w:hint="eastAsia" w:ascii="黑体" w:hAnsi="黑体" w:eastAsia="黑体" w:cs="黑体"/>
          <w:b w:val="0"/>
          <w:bCs/>
          <w:sz w:val="30"/>
          <w:szCs w:val="30"/>
        </w:rPr>
        <w:t>说明</w:t>
      </w:r>
    </w:p>
    <w:p>
      <w:pPr>
        <w:spacing w:line="220" w:lineRule="atLeas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2021</w:t>
      </w:r>
      <w:r>
        <w:rPr>
          <w:rFonts w:hint="eastAsia" w:ascii="仿宋" w:hAnsi="仿宋" w:eastAsia="仿宋" w:cs="仿宋"/>
          <w:sz w:val="30"/>
          <w:szCs w:val="30"/>
        </w:rPr>
        <w:t>年预算支出</w:t>
      </w:r>
      <w:r>
        <w:rPr>
          <w:rFonts w:hint="eastAsia" w:ascii="仿宋" w:hAnsi="仿宋" w:eastAsia="仿宋" w:cs="仿宋"/>
          <w:sz w:val="30"/>
          <w:szCs w:val="30"/>
          <w:highlight w:val="none"/>
          <w:lang w:val="en-US" w:eastAsia="zh-CN"/>
        </w:rPr>
        <w:t>25471.15</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val="en-US" w:eastAsia="zh-CN"/>
        </w:rPr>
        <w:t>系一般公共预算支出。</w:t>
      </w:r>
      <w:r>
        <w:rPr>
          <w:rFonts w:hint="eastAsia" w:ascii="仿宋" w:hAnsi="仿宋" w:eastAsia="仿宋" w:cs="仿宋"/>
          <w:sz w:val="30"/>
          <w:szCs w:val="30"/>
          <w:highlight w:val="none"/>
          <w:lang w:eastAsia="zh-CN"/>
        </w:rPr>
        <w:t>其中：基本支出</w:t>
      </w:r>
      <w:r>
        <w:rPr>
          <w:rFonts w:hint="eastAsia" w:ascii="仿宋" w:hAnsi="仿宋" w:eastAsia="仿宋" w:cs="仿宋"/>
          <w:sz w:val="30"/>
          <w:szCs w:val="30"/>
          <w:highlight w:val="none"/>
          <w:lang w:val="en-US" w:eastAsia="zh-CN"/>
        </w:rPr>
        <w:t>880.35万元，项目支出24590.80万元。项目支出中，城乡居民基本医疗支出21205.8万元，医疗救助支出825万，一般性项目780万，；2021年调剂金配套支出1000万，，国有破产企业退休职工大额医疗补助支出60万元，离休人员医疗费支出支出720万元。比上年支出预算增加</w:t>
      </w:r>
      <w:r>
        <w:rPr>
          <w:rFonts w:hint="eastAsia" w:ascii="仿宋" w:hAnsi="仿宋" w:eastAsia="仿宋" w:cs="仿宋"/>
          <w:color w:val="auto"/>
          <w:sz w:val="30"/>
          <w:szCs w:val="30"/>
          <w:highlight w:val="none"/>
          <w:lang w:val="en-US" w:eastAsia="zh-CN"/>
        </w:rPr>
        <w:t>7.9%。系医疗救助和一般性项目增加以</w:t>
      </w:r>
      <w:r>
        <w:rPr>
          <w:rFonts w:hint="eastAsia" w:ascii="仿宋" w:hAnsi="仿宋" w:eastAsia="仿宋" w:cs="仿宋"/>
          <w:color w:val="auto"/>
          <w:sz w:val="30"/>
          <w:szCs w:val="30"/>
          <w:highlight w:val="none"/>
          <w:lang w:val="en-US" w:eastAsia="zh-CN"/>
        </w:rPr>
        <w:t>及工资福利方面预算支出的增加。</w:t>
      </w:r>
    </w:p>
    <w:p>
      <w:pPr>
        <w:numPr>
          <w:ilvl w:val="0"/>
          <w:numId w:val="0"/>
        </w:numPr>
        <w:spacing w:line="220" w:lineRule="atLeast"/>
        <w:ind w:firstLine="600" w:firstLineChars="200"/>
        <w:jc w:val="both"/>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2、2021年度一般公共预算基本支出880.35万元，其中</w:t>
      </w:r>
      <w:r>
        <w:rPr>
          <w:rFonts w:hint="eastAsia" w:ascii="仿宋" w:hAnsi="仿宋" w:eastAsia="仿宋" w:cs="仿宋"/>
          <w:color w:val="auto"/>
          <w:sz w:val="30"/>
          <w:szCs w:val="30"/>
          <w:highlight w:val="none"/>
        </w:rPr>
        <w:t>工资福利支出</w:t>
      </w:r>
      <w:r>
        <w:rPr>
          <w:rFonts w:hint="eastAsia" w:ascii="仿宋" w:hAnsi="仿宋" w:eastAsia="仿宋" w:cs="仿宋"/>
          <w:color w:val="auto"/>
          <w:sz w:val="30"/>
          <w:szCs w:val="30"/>
          <w:highlight w:val="none"/>
          <w:lang w:val="en-US" w:eastAsia="zh-CN"/>
        </w:rPr>
        <w:t>747.79</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比上年增加257.48万元，增加52%，系2021年度医疗保障稽查大队成立，人员增加；</w:t>
      </w:r>
      <w:r>
        <w:rPr>
          <w:rFonts w:hint="eastAsia" w:ascii="仿宋" w:hAnsi="仿宋" w:eastAsia="仿宋" w:cs="仿宋"/>
          <w:color w:val="auto"/>
          <w:sz w:val="30"/>
          <w:szCs w:val="30"/>
          <w:highlight w:val="none"/>
        </w:rPr>
        <w:t>商品和服务支出</w:t>
      </w:r>
      <w:r>
        <w:rPr>
          <w:rFonts w:hint="eastAsia" w:ascii="仿宋" w:hAnsi="仿宋" w:eastAsia="仿宋" w:cs="仿宋"/>
          <w:color w:val="auto"/>
          <w:sz w:val="30"/>
          <w:szCs w:val="30"/>
          <w:highlight w:val="none"/>
          <w:lang w:val="en-US" w:eastAsia="zh-CN"/>
        </w:rPr>
        <w:t>130.76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比上年增加30.66万元，增加30%，系2021年度医疗保障稽查大队成立，相关费用增加</w:t>
      </w:r>
      <w:r>
        <w:rPr>
          <w:rFonts w:hint="eastAsia" w:ascii="仿宋" w:hAnsi="仿宋" w:eastAsia="仿宋" w:cs="仿宋"/>
          <w:color w:val="auto"/>
          <w:sz w:val="30"/>
          <w:szCs w:val="30"/>
          <w:highlight w:val="none"/>
        </w:rPr>
        <w:t>；对个人和家庭的补助支出</w:t>
      </w:r>
      <w:r>
        <w:rPr>
          <w:rFonts w:hint="eastAsia" w:ascii="仿宋" w:hAnsi="仿宋" w:eastAsia="仿宋" w:cs="仿宋"/>
          <w:color w:val="auto"/>
          <w:sz w:val="30"/>
          <w:szCs w:val="30"/>
          <w:highlight w:val="none"/>
          <w:lang w:val="en-US" w:eastAsia="zh-CN"/>
        </w:rPr>
        <w:t>1.8</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比上年增加0.4万</w:t>
      </w:r>
      <w:bookmarkStart w:id="0" w:name="_GoBack"/>
      <w:bookmarkEnd w:id="0"/>
      <w:r>
        <w:rPr>
          <w:rFonts w:hint="eastAsia" w:ascii="仿宋" w:hAnsi="仿宋" w:eastAsia="仿宋" w:cs="仿宋"/>
          <w:color w:val="auto"/>
          <w:sz w:val="30"/>
          <w:szCs w:val="30"/>
          <w:highlight w:val="none"/>
          <w:lang w:val="en-US" w:eastAsia="zh-CN"/>
        </w:rPr>
        <w:t>元，增加28%</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系对个人和家庭补助调整增加。</w:t>
      </w:r>
    </w:p>
    <w:p>
      <w:pPr>
        <w:numPr>
          <w:ilvl w:val="0"/>
          <w:numId w:val="0"/>
        </w:numPr>
        <w:spacing w:line="220" w:lineRule="atLeast"/>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3、预算政府采购的情况说明</w:t>
      </w:r>
    </w:p>
    <w:p>
      <w:pPr>
        <w:numPr>
          <w:ilvl w:val="0"/>
          <w:numId w:val="0"/>
        </w:numPr>
        <w:spacing w:line="220" w:lineRule="atLeast"/>
        <w:ind w:firstLine="602"/>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highlight w:val="none"/>
          <w:lang w:val="en-US" w:eastAsia="zh-CN"/>
        </w:rPr>
        <w:t>预算2021年因医疗保障稽查大队的成立，人员逐步到位，为提升医疗保障服务能力，优化我局办公环境，我单位进行办公场地、会议室的改造工作，对办公电脑、打印机、办公桌椅、空调等进行政府采购，</w:t>
      </w:r>
      <w:r>
        <w:rPr>
          <w:rFonts w:hint="eastAsia" w:ascii="仿宋" w:hAnsi="仿宋" w:eastAsia="仿宋" w:cs="仿宋"/>
          <w:b w:val="0"/>
          <w:bCs w:val="0"/>
          <w:color w:val="auto"/>
          <w:sz w:val="30"/>
          <w:szCs w:val="30"/>
          <w:lang w:val="en-US" w:eastAsia="zh-CN"/>
        </w:rPr>
        <w:t>预算采购资金总支出35万元。</w:t>
      </w:r>
    </w:p>
    <w:p>
      <w:pPr>
        <w:numPr>
          <w:ilvl w:val="0"/>
          <w:numId w:val="0"/>
        </w:numPr>
        <w:spacing w:line="240" w:lineRule="auto"/>
        <w:ind w:firstLine="600" w:firstLineChars="20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四、机关运行经费预算安排情况</w:t>
      </w:r>
    </w:p>
    <w:p>
      <w:pPr>
        <w:kinsoku w:val="0"/>
        <w:overflowPunct w:val="0"/>
        <w:autoSpaceDE w:val="0"/>
        <w:autoSpaceDN w:val="0"/>
        <w:adjustRightInd w:val="0"/>
        <w:snapToGrid w:val="0"/>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2021</w:t>
      </w:r>
      <w:r>
        <w:rPr>
          <w:rFonts w:hint="eastAsia" w:ascii="仿宋" w:hAnsi="仿宋" w:eastAsia="仿宋" w:cs="仿宋"/>
          <w:sz w:val="30"/>
          <w:szCs w:val="30"/>
        </w:rPr>
        <w:t>年度机关运行经费</w:t>
      </w:r>
      <w:r>
        <w:rPr>
          <w:rFonts w:hint="eastAsia" w:ascii="仿宋" w:hAnsi="仿宋" w:eastAsia="仿宋" w:cs="仿宋"/>
          <w:sz w:val="30"/>
          <w:szCs w:val="30"/>
          <w:lang w:eastAsia="zh-CN"/>
        </w:rPr>
        <w:t>预算总</w:t>
      </w:r>
      <w:r>
        <w:rPr>
          <w:rFonts w:hint="eastAsia" w:ascii="仿宋" w:hAnsi="仿宋" w:eastAsia="仿宋" w:cs="仿宋"/>
          <w:sz w:val="30"/>
          <w:szCs w:val="30"/>
        </w:rPr>
        <w:t>支出</w:t>
      </w:r>
      <w:r>
        <w:rPr>
          <w:rFonts w:hint="eastAsia" w:ascii="仿宋" w:hAnsi="仿宋" w:eastAsia="仿宋" w:cs="仿宋"/>
          <w:sz w:val="30"/>
          <w:szCs w:val="30"/>
          <w:lang w:val="en-US" w:eastAsia="zh-CN"/>
        </w:rPr>
        <w:t>130.76</w:t>
      </w:r>
      <w:r>
        <w:rPr>
          <w:rFonts w:hint="eastAsia" w:ascii="仿宋" w:hAnsi="仿宋" w:eastAsia="仿宋" w:cs="仿宋"/>
          <w:sz w:val="30"/>
          <w:szCs w:val="30"/>
        </w:rPr>
        <w:t>万元，</w:t>
      </w:r>
      <w:r>
        <w:rPr>
          <w:rFonts w:hint="eastAsia" w:ascii="仿宋" w:hAnsi="仿宋" w:eastAsia="仿宋" w:cs="仿宋"/>
          <w:sz w:val="30"/>
          <w:szCs w:val="30"/>
          <w:lang w:val="en-US" w:eastAsia="zh-CN"/>
        </w:rPr>
        <w:t>比上年同期机关运行经费增加30.66万元，同比增加30%。</w:t>
      </w:r>
      <w:r>
        <w:rPr>
          <w:rFonts w:hint="eastAsia" w:ascii="仿宋" w:hAnsi="仿宋" w:eastAsia="仿宋" w:cs="仿宋"/>
          <w:sz w:val="30"/>
          <w:szCs w:val="30"/>
          <w:lang w:eastAsia="zh-CN"/>
        </w:rPr>
        <w:t>其中</w:t>
      </w:r>
      <w:r>
        <w:rPr>
          <w:rFonts w:hint="eastAsia" w:ascii="仿宋" w:hAnsi="仿宋" w:eastAsia="仿宋" w:cs="仿宋"/>
          <w:sz w:val="30"/>
          <w:szCs w:val="30"/>
        </w:rPr>
        <w:t>办公费</w:t>
      </w:r>
      <w:r>
        <w:rPr>
          <w:rFonts w:hint="eastAsia" w:ascii="仿宋" w:hAnsi="仿宋" w:eastAsia="仿宋" w:cs="仿宋"/>
          <w:sz w:val="30"/>
          <w:szCs w:val="30"/>
          <w:lang w:val="en-US" w:eastAsia="zh-CN"/>
        </w:rPr>
        <w:t>20万元、印刷费16万元、咨询费2万、水电费10万元、邮电费3.5万元、差旅费22.5万元、维修费8.1万元、租赁费2万元、会议费2万、培训费2万、公务接待费2万、劳务费9.7万、工会经费22万、其他交通费1万元、其他8万元</w:t>
      </w:r>
      <w:r>
        <w:rPr>
          <w:rFonts w:hint="eastAsia" w:ascii="仿宋" w:hAnsi="仿宋" w:eastAsia="仿宋" w:cs="仿宋"/>
          <w:sz w:val="30"/>
          <w:szCs w:val="30"/>
        </w:rPr>
        <w:t>。</w:t>
      </w:r>
    </w:p>
    <w:p>
      <w:pPr>
        <w:numPr>
          <w:ilvl w:val="0"/>
          <w:numId w:val="1"/>
        </w:numPr>
        <w:kinsoku w:val="0"/>
        <w:overflowPunct w:val="0"/>
        <w:autoSpaceDE w:val="0"/>
        <w:autoSpaceDN w:val="0"/>
        <w:adjustRightInd w:val="0"/>
        <w:snapToGrid w:val="0"/>
        <w:spacing w:line="240" w:lineRule="auto"/>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预算收支增减变化情况说明</w:t>
      </w:r>
    </w:p>
    <w:p>
      <w:pPr>
        <w:spacing w:line="220" w:lineRule="atLeast"/>
        <w:ind w:firstLine="600" w:firstLineChars="200"/>
        <w:rPr>
          <w:rFonts w:hint="default" w:ascii="仿宋" w:hAnsi="仿宋" w:eastAsia="仿宋" w:cs="仿宋"/>
          <w:color w:val="auto"/>
          <w:sz w:val="30"/>
          <w:szCs w:val="30"/>
          <w:highlight w:val="none"/>
          <w:lang w:val="en-US"/>
        </w:rPr>
      </w:pPr>
      <w:r>
        <w:rPr>
          <w:rFonts w:hint="eastAsia" w:ascii="仿宋" w:hAnsi="仿宋" w:eastAsia="仿宋" w:cs="仿宋"/>
          <w:b w:val="0"/>
          <w:bCs w:val="0"/>
          <w:sz w:val="30"/>
          <w:szCs w:val="30"/>
          <w:lang w:val="en-US" w:eastAsia="zh-CN"/>
        </w:rPr>
        <w:t>1、2021年度收入预算</w:t>
      </w:r>
      <w:r>
        <w:rPr>
          <w:rFonts w:hint="eastAsia" w:ascii="仿宋" w:hAnsi="仿宋" w:eastAsia="仿宋" w:cs="仿宋"/>
          <w:color w:val="auto"/>
          <w:sz w:val="30"/>
          <w:szCs w:val="30"/>
          <w:highlight w:val="none"/>
          <w:lang w:val="en-US" w:eastAsia="zh-CN"/>
        </w:rPr>
        <w:t>25471.15万元，其中基本支出</w:t>
      </w:r>
      <w:r>
        <w:rPr>
          <w:rFonts w:hint="eastAsia" w:ascii="仿宋" w:hAnsi="仿宋" w:eastAsia="仿宋" w:cs="仿宋"/>
          <w:sz w:val="30"/>
          <w:szCs w:val="30"/>
          <w:highlight w:val="none"/>
          <w:lang w:val="en-US" w:eastAsia="zh-CN"/>
        </w:rPr>
        <w:t>880.35万元，项目支出24590.80万元，比上年收入预算增加7.9%。</w:t>
      </w:r>
      <w:r>
        <w:rPr>
          <w:rFonts w:hint="eastAsia" w:ascii="仿宋" w:hAnsi="仿宋" w:eastAsia="仿宋" w:cs="仿宋"/>
          <w:color w:val="auto"/>
          <w:sz w:val="30"/>
          <w:szCs w:val="30"/>
          <w:highlight w:val="none"/>
          <w:lang w:val="en-US" w:eastAsia="zh-CN"/>
        </w:rPr>
        <w:t>主要为医疗救助和一般性项目增加以及工资福利方面预算收入的增加。</w:t>
      </w:r>
    </w:p>
    <w:p>
      <w:pPr>
        <w:numPr>
          <w:ilvl w:val="0"/>
          <w:numId w:val="0"/>
        </w:numPr>
        <w:spacing w:line="220" w:lineRule="atLeast"/>
        <w:ind w:firstLine="602" w:firstLineChars="200"/>
        <w:jc w:val="both"/>
        <w:rPr>
          <w:rFonts w:hint="eastAsia" w:ascii="仿宋" w:hAnsi="仿宋" w:eastAsia="仿宋" w:cs="仿宋"/>
          <w:sz w:val="30"/>
          <w:szCs w:val="30"/>
          <w:highlight w:val="none"/>
        </w:rPr>
      </w:pPr>
      <w:r>
        <w:rPr>
          <w:rFonts w:hint="eastAsia" w:ascii="仿宋" w:hAnsi="仿宋" w:eastAsia="仿宋" w:cs="仿宋"/>
          <w:b/>
          <w:bCs/>
          <w:sz w:val="30"/>
          <w:szCs w:val="30"/>
          <w:lang w:val="en-US" w:eastAsia="zh-CN"/>
        </w:rPr>
        <w:t xml:space="preserve"> </w:t>
      </w:r>
      <w:r>
        <w:rPr>
          <w:rFonts w:hint="eastAsia" w:ascii="仿宋" w:hAnsi="仿宋" w:eastAsia="仿宋" w:cs="仿宋"/>
          <w:b w:val="0"/>
          <w:bCs w:val="0"/>
          <w:sz w:val="30"/>
          <w:szCs w:val="30"/>
          <w:lang w:val="en-US" w:eastAsia="zh-CN"/>
        </w:rPr>
        <w:t>2、2021年度支出预算</w:t>
      </w:r>
      <w:r>
        <w:rPr>
          <w:rFonts w:hint="eastAsia" w:ascii="仿宋" w:hAnsi="仿宋" w:eastAsia="仿宋" w:cs="仿宋"/>
          <w:color w:val="auto"/>
          <w:sz w:val="30"/>
          <w:szCs w:val="30"/>
          <w:highlight w:val="none"/>
          <w:lang w:val="en-US" w:eastAsia="zh-CN"/>
        </w:rPr>
        <w:t>25471.15万元，</w:t>
      </w:r>
      <w:r>
        <w:rPr>
          <w:rFonts w:hint="eastAsia" w:ascii="仿宋" w:hAnsi="仿宋" w:eastAsia="仿宋" w:cs="仿宋"/>
          <w:sz w:val="30"/>
          <w:szCs w:val="30"/>
          <w:highlight w:val="none"/>
          <w:lang w:val="en-US" w:eastAsia="zh-CN"/>
        </w:rPr>
        <w:t>其中</w:t>
      </w:r>
      <w:r>
        <w:rPr>
          <w:rFonts w:hint="eastAsia" w:ascii="仿宋" w:hAnsi="仿宋" w:eastAsia="仿宋" w:cs="仿宋"/>
          <w:sz w:val="30"/>
          <w:szCs w:val="30"/>
          <w:highlight w:val="none"/>
        </w:rPr>
        <w:t>工资福利支出</w:t>
      </w:r>
      <w:r>
        <w:rPr>
          <w:rFonts w:hint="eastAsia" w:ascii="仿宋" w:hAnsi="仿宋" w:eastAsia="仿宋" w:cs="仿宋"/>
          <w:sz w:val="30"/>
          <w:szCs w:val="30"/>
          <w:highlight w:val="none"/>
          <w:lang w:val="en-US" w:eastAsia="zh-CN"/>
        </w:rPr>
        <w:t>747.79</w:t>
      </w:r>
      <w:r>
        <w:rPr>
          <w:rFonts w:hint="eastAsia" w:ascii="仿宋" w:hAnsi="仿宋" w:eastAsia="仿宋" w:cs="仿宋"/>
          <w:sz w:val="30"/>
          <w:szCs w:val="30"/>
          <w:highlight w:val="none"/>
        </w:rPr>
        <w:t>万元，占</w:t>
      </w:r>
      <w:r>
        <w:rPr>
          <w:rFonts w:hint="eastAsia" w:ascii="仿宋" w:hAnsi="仿宋" w:eastAsia="仿宋" w:cs="仿宋"/>
          <w:sz w:val="30"/>
          <w:szCs w:val="30"/>
          <w:highlight w:val="none"/>
          <w:lang w:val="en-US" w:eastAsia="zh-CN"/>
        </w:rPr>
        <w:t>预算总额</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lang w:val="en-US" w:eastAsia="zh-CN"/>
        </w:rPr>
        <w:t>0.29</w:t>
      </w:r>
      <w:r>
        <w:rPr>
          <w:rFonts w:hint="eastAsia" w:ascii="仿宋" w:hAnsi="仿宋" w:eastAsia="仿宋" w:cs="仿宋"/>
          <w:sz w:val="30"/>
          <w:szCs w:val="30"/>
          <w:highlight w:val="none"/>
        </w:rPr>
        <w:t>%；商品和服务支出</w:t>
      </w:r>
      <w:r>
        <w:rPr>
          <w:rFonts w:hint="eastAsia" w:ascii="仿宋" w:hAnsi="仿宋" w:eastAsia="仿宋" w:cs="仿宋"/>
          <w:sz w:val="30"/>
          <w:szCs w:val="30"/>
          <w:highlight w:val="none"/>
          <w:lang w:val="en-US" w:eastAsia="zh-CN"/>
        </w:rPr>
        <w:t>130.76</w:t>
      </w:r>
      <w:r>
        <w:rPr>
          <w:rFonts w:hint="eastAsia" w:ascii="仿宋" w:hAnsi="仿宋" w:eastAsia="仿宋" w:cs="仿宋"/>
          <w:sz w:val="30"/>
          <w:szCs w:val="30"/>
          <w:highlight w:val="none"/>
        </w:rPr>
        <w:t>万元，占</w:t>
      </w:r>
      <w:r>
        <w:rPr>
          <w:rFonts w:hint="eastAsia" w:ascii="仿宋" w:hAnsi="仿宋" w:eastAsia="仿宋" w:cs="仿宋"/>
          <w:sz w:val="30"/>
          <w:szCs w:val="30"/>
          <w:highlight w:val="none"/>
          <w:lang w:val="en-US" w:eastAsia="zh-CN"/>
        </w:rPr>
        <w:t>预算总额</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lang w:val="en-US" w:eastAsia="zh-CN"/>
        </w:rPr>
        <w:t>0.05</w:t>
      </w:r>
      <w:r>
        <w:rPr>
          <w:rFonts w:hint="eastAsia" w:ascii="仿宋" w:hAnsi="仿宋" w:eastAsia="仿宋" w:cs="仿宋"/>
          <w:sz w:val="30"/>
          <w:szCs w:val="30"/>
          <w:highlight w:val="none"/>
        </w:rPr>
        <w:t>%；对个人和家庭的补助支出</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万元，占</w:t>
      </w:r>
      <w:r>
        <w:rPr>
          <w:rFonts w:hint="eastAsia" w:ascii="仿宋" w:hAnsi="仿宋" w:eastAsia="仿宋" w:cs="仿宋"/>
          <w:sz w:val="30"/>
          <w:szCs w:val="30"/>
          <w:highlight w:val="none"/>
          <w:lang w:val="en-US" w:eastAsia="zh-CN"/>
        </w:rPr>
        <w:t>预算总额</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lang w:val="en-US" w:eastAsia="zh-CN"/>
        </w:rPr>
        <w:t>0.01</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项目支出24590.80万元，</w:t>
      </w:r>
      <w:r>
        <w:rPr>
          <w:rFonts w:hint="eastAsia" w:ascii="仿宋" w:hAnsi="仿宋" w:eastAsia="仿宋" w:cs="仿宋"/>
          <w:sz w:val="30"/>
          <w:szCs w:val="30"/>
          <w:highlight w:val="none"/>
        </w:rPr>
        <w:t>占</w:t>
      </w:r>
      <w:r>
        <w:rPr>
          <w:rFonts w:hint="eastAsia" w:ascii="仿宋" w:hAnsi="仿宋" w:eastAsia="仿宋" w:cs="仿宋"/>
          <w:sz w:val="30"/>
          <w:szCs w:val="30"/>
          <w:highlight w:val="none"/>
          <w:lang w:val="en-US" w:eastAsia="zh-CN"/>
        </w:rPr>
        <w:t>预算总额</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lang w:val="en-US" w:eastAsia="zh-CN"/>
        </w:rPr>
        <w:t>96.5%。其中，城乡居民基本医疗支出21205.8万元，占预算总额的83.3%，医疗救助支出825万，占比3.2%；一般性项目780万，占比3.1%；2021年调剂金配套支出1000万，占比3.9%，国有破产企业退休职工大额医疗补助支出60万元，占比0.2%，离休人员医疗费支出支出720万元，占比2.8% 。</w:t>
      </w:r>
    </w:p>
    <w:p>
      <w:pPr>
        <w:numPr>
          <w:numId w:val="0"/>
        </w:numPr>
        <w:kinsoku w:val="0"/>
        <w:overflowPunct w:val="0"/>
        <w:autoSpaceDE w:val="0"/>
        <w:autoSpaceDN w:val="0"/>
        <w:adjustRightInd w:val="0"/>
        <w:snapToGrid w:val="0"/>
        <w:spacing w:line="240" w:lineRule="auto"/>
        <w:rPr>
          <w:rFonts w:hint="default" w:ascii="仿宋" w:hAnsi="仿宋" w:eastAsia="仿宋" w:cs="仿宋"/>
          <w:b/>
          <w:bCs/>
          <w:sz w:val="30"/>
          <w:szCs w:val="30"/>
          <w:lang w:val="en-US" w:eastAsia="zh-CN"/>
        </w:rPr>
      </w:pPr>
    </w:p>
    <w:p>
      <w:pPr>
        <w:numPr>
          <w:ilvl w:val="0"/>
          <w:numId w:val="0"/>
        </w:numPr>
        <w:spacing w:line="220" w:lineRule="atLeas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3、关于三公经费支出情况说明</w:t>
      </w:r>
    </w:p>
    <w:p>
      <w:pPr>
        <w:numPr>
          <w:ilvl w:val="0"/>
          <w:numId w:val="0"/>
        </w:numPr>
        <w:spacing w:line="220" w:lineRule="atLeast"/>
        <w:ind w:firstLine="601"/>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2021年“三公”经费预算为2万，比上年减少2.9万元，减少59%。减少原因为按照中央国务院八项规定和省委省政府厉行节约的相关规定要求，严格管控“三公”经费支出，进一步压减“三公”经费。具体情况如下：</w:t>
      </w:r>
    </w:p>
    <w:p>
      <w:pPr>
        <w:numPr>
          <w:ilvl w:val="0"/>
          <w:numId w:val="2"/>
        </w:numPr>
        <w:spacing w:line="220" w:lineRule="atLeast"/>
        <w:ind w:firstLine="601"/>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因公出国（境）费0万元。</w:t>
      </w:r>
    </w:p>
    <w:p>
      <w:pPr>
        <w:numPr>
          <w:ilvl w:val="0"/>
          <w:numId w:val="2"/>
        </w:numPr>
        <w:spacing w:line="220" w:lineRule="atLeast"/>
        <w:ind w:firstLine="601"/>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公务用车购置及运行费0万元，其中公务用车购置费0万元；公务用车运行维护费0万元。</w:t>
      </w:r>
    </w:p>
    <w:p>
      <w:pPr>
        <w:numPr>
          <w:ilvl w:val="0"/>
          <w:numId w:val="2"/>
        </w:numPr>
        <w:spacing w:line="220" w:lineRule="atLeast"/>
        <w:ind w:firstLine="601"/>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公务接待费2万元，主要为医保系统交流学习公务接待。比上年减少2.9万元，减少59%。减少原因为按照中央国务院八项规定和省委省政府厉行节约的相关规定要求，严格管控“三公”经费支出，进一步压减“三公”经费。</w:t>
      </w:r>
    </w:p>
    <w:p>
      <w:pPr>
        <w:numPr>
          <w:ilvl w:val="0"/>
          <w:numId w:val="0"/>
        </w:numPr>
        <w:spacing w:line="360" w:lineRule="auto"/>
        <w:ind w:leftChars="0"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rPr>
        <w:t>国有资产占用情况说明</w:t>
      </w:r>
    </w:p>
    <w:p>
      <w:pPr>
        <w:numPr>
          <w:ilvl w:val="0"/>
          <w:numId w:val="0"/>
        </w:numPr>
        <w:spacing w:line="360" w:lineRule="auto"/>
        <w:ind w:leftChars="0"/>
        <w:rPr>
          <w:rFonts w:hint="eastAsia" w:ascii="仿宋" w:hAnsi="仿宋" w:eastAsia="仿宋" w:cs="仿宋"/>
          <w:sz w:val="30"/>
          <w:szCs w:val="30"/>
          <w:highlight w:val="yellow"/>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highlight w:val="none"/>
          <w:lang w:val="en-US" w:eastAsia="zh-CN"/>
        </w:rPr>
        <w:t xml:space="preserve"> 本期末，</w:t>
      </w:r>
      <w:r>
        <w:rPr>
          <w:rFonts w:hint="eastAsia" w:ascii="仿宋_GB2312" w:eastAsia="仿宋_GB2312"/>
          <w:sz w:val="32"/>
          <w:szCs w:val="32"/>
        </w:rPr>
        <w:t>我部门共有车辆</w:t>
      </w:r>
      <w:r>
        <w:rPr>
          <w:rFonts w:hint="eastAsia" w:ascii="仿宋_GB2312" w:eastAsia="仿宋_GB2312"/>
          <w:sz w:val="32"/>
          <w:szCs w:val="32"/>
          <w:lang w:val="en-US" w:eastAsia="zh-CN"/>
        </w:rPr>
        <w:t>0</w:t>
      </w:r>
      <w:r>
        <w:rPr>
          <w:rFonts w:hint="eastAsia" w:ascii="仿宋_GB2312" w:eastAsia="仿宋_GB2312"/>
          <w:sz w:val="32"/>
          <w:szCs w:val="32"/>
        </w:rPr>
        <w:t>辆，其中：</w:t>
      </w:r>
      <w:r>
        <w:rPr>
          <w:rFonts w:hint="eastAsia" w:ascii="仿宋_GB2312" w:eastAsia="仿宋_GB2312"/>
          <w:sz w:val="32"/>
          <w:szCs w:val="32"/>
          <w:lang w:val="en-US" w:eastAsia="zh-CN"/>
        </w:rPr>
        <w:t>省级</w:t>
      </w:r>
      <w:r>
        <w:rPr>
          <w:rFonts w:hint="eastAsia" w:ascii="仿宋_GB2312" w:eastAsia="仿宋_GB2312"/>
          <w:sz w:val="32"/>
          <w:szCs w:val="32"/>
        </w:rPr>
        <w:t>领导干部用车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主要领导干部用车0辆、</w:t>
      </w:r>
      <w:r>
        <w:rPr>
          <w:rFonts w:hint="eastAsia" w:ascii="仿宋_GB2312" w:eastAsia="仿宋_GB2312"/>
          <w:sz w:val="32"/>
          <w:szCs w:val="32"/>
        </w:rPr>
        <w:t>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辆、应急保障车</w:t>
      </w:r>
      <w:r>
        <w:rPr>
          <w:rFonts w:hint="eastAsia" w:ascii="仿宋_GB2312" w:eastAsia="仿宋_GB2312"/>
          <w:sz w:val="32"/>
          <w:szCs w:val="32"/>
          <w:lang w:val="en-US" w:eastAsia="zh-CN"/>
        </w:rPr>
        <w:t>0</w:t>
      </w:r>
      <w:r>
        <w:rPr>
          <w:rFonts w:hint="eastAsia" w:ascii="仿宋_GB2312" w:eastAsia="仿宋_GB2312"/>
          <w:sz w:val="32"/>
          <w:szCs w:val="32"/>
        </w:rPr>
        <w:t>辆、执法执勤用车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辆、离退休干部用车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numPr>
          <w:numId w:val="0"/>
        </w:numPr>
        <w:kinsoku w:val="0"/>
        <w:overflowPunct w:val="0"/>
        <w:autoSpaceDE w:val="0"/>
        <w:autoSpaceDN w:val="0"/>
        <w:adjustRightInd w:val="0"/>
        <w:snapToGrid w:val="0"/>
        <w:spacing w:line="360" w:lineRule="auto"/>
        <w:ind w:left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七、</w:t>
      </w:r>
      <w:r>
        <w:rPr>
          <w:rFonts w:hint="eastAsia" w:ascii="黑体" w:hAnsi="黑体" w:eastAsia="黑体" w:cs="黑体"/>
          <w:b w:val="0"/>
          <w:bCs w:val="0"/>
          <w:sz w:val="30"/>
          <w:szCs w:val="30"/>
        </w:rPr>
        <w:t>绩效目标情况说明</w:t>
      </w:r>
    </w:p>
    <w:p>
      <w:pPr>
        <w:numPr>
          <w:numId w:val="0"/>
        </w:numPr>
        <w:kinsoku w:val="0"/>
        <w:overflowPunct w:val="0"/>
        <w:autoSpaceDE w:val="0"/>
        <w:autoSpaceDN w:val="0"/>
        <w:adjustRightInd w:val="0"/>
        <w:snapToGrid w:val="0"/>
        <w:spacing w:line="360" w:lineRule="auto"/>
        <w:ind w:left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项目名称：医疗服务与保障能力提升补助项目。</w:t>
      </w:r>
    </w:p>
    <w:p>
      <w:pPr>
        <w:numPr>
          <w:ilvl w:val="0"/>
          <w:numId w:val="0"/>
        </w:numPr>
        <w:ind w:firstLine="64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总体目标：</w:t>
      </w:r>
      <w:r>
        <w:rPr>
          <w:rFonts w:hint="eastAsia" w:ascii="仿宋" w:hAnsi="仿宋" w:eastAsia="仿宋" w:cs="仿宋"/>
          <w:sz w:val="30"/>
          <w:szCs w:val="30"/>
          <w:lang w:val="en-US" w:eastAsia="zh-CN"/>
        </w:rPr>
        <w:t>用于医疗保障管理事务，维护全区医疗保障基金安全，提升浉河区医保局医疗服务水平，更好的服务广大参保群众，提高群众满意度。</w:t>
      </w:r>
    </w:p>
    <w:p>
      <w:pPr>
        <w:numPr>
          <w:ilvl w:val="0"/>
          <w:numId w:val="3"/>
        </w:numPr>
        <w:kinsoku w:val="0"/>
        <w:overflowPunct w:val="0"/>
        <w:autoSpaceDE w:val="0"/>
        <w:autoSpaceDN w:val="0"/>
        <w:adjustRightInd w:val="0"/>
        <w:snapToGrid w:val="0"/>
        <w:spacing w:line="360" w:lineRule="auto"/>
        <w:ind w:leftChars="0"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政府性基金预算支出决算情况说明</w:t>
      </w:r>
    </w:p>
    <w:p>
      <w:pPr>
        <w:numPr>
          <w:numId w:val="0"/>
        </w:numPr>
        <w:kinsoku w:val="0"/>
        <w:overflowPunct w:val="0"/>
        <w:autoSpaceDE w:val="0"/>
        <w:autoSpaceDN w:val="0"/>
        <w:adjustRightInd w:val="0"/>
        <w:snapToGrid w:val="0"/>
        <w:spacing w:line="360" w:lineRule="auto"/>
        <w:ind w:left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浉河区医保局2021年无政府性基金支出预算支出。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sz w:val="30"/>
          <w:szCs w:val="30"/>
          <w:lang w:val="en-US" w:eastAsia="zh-CN"/>
        </w:rPr>
        <w:t xml:space="preserve">第三部分 </w:t>
      </w:r>
      <w:r>
        <w:rPr>
          <w:rFonts w:hint="eastAsia" w:ascii="仿宋" w:hAnsi="仿宋" w:eastAsia="仿宋" w:cs="仿宋"/>
          <w:b/>
          <w:bCs/>
          <w:sz w:val="30"/>
          <w:szCs w:val="30"/>
          <w:lang w:val="en-US" w:eastAsia="zh-CN"/>
        </w:rPr>
        <w:t>名词解释</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财政拨款收入：</w:t>
      </w:r>
      <w:r>
        <w:rPr>
          <w:rFonts w:hint="eastAsia" w:ascii="仿宋" w:hAnsi="仿宋" w:eastAsia="仿宋" w:cs="仿宋"/>
          <w:sz w:val="30"/>
          <w:szCs w:val="30"/>
        </w:rPr>
        <w:t>是指</w:t>
      </w:r>
      <w:r>
        <w:rPr>
          <w:rFonts w:hint="eastAsia" w:ascii="仿宋" w:hAnsi="仿宋" w:eastAsia="仿宋" w:cs="仿宋"/>
          <w:sz w:val="30"/>
          <w:szCs w:val="30"/>
          <w:lang w:eastAsia="zh-CN"/>
        </w:rPr>
        <w:t>各</w:t>
      </w:r>
      <w:r>
        <w:rPr>
          <w:rFonts w:hint="eastAsia" w:ascii="仿宋" w:hAnsi="仿宋" w:eastAsia="仿宋" w:cs="仿宋"/>
          <w:sz w:val="30"/>
          <w:szCs w:val="30"/>
        </w:rPr>
        <w:t>级财政当年拨付的资金。</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年初结转和结余：</w:t>
      </w:r>
      <w:r>
        <w:rPr>
          <w:rFonts w:hint="eastAsia" w:ascii="仿宋" w:hAnsi="仿宋" w:eastAsia="仿宋" w:cs="仿宋"/>
          <w:sz w:val="30"/>
          <w:szCs w:val="30"/>
        </w:rPr>
        <w:t>指以前年度尚未完成、结转到本年按有关规定继续使用的资金。</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基本支出：</w:t>
      </w:r>
      <w:r>
        <w:rPr>
          <w:rFonts w:hint="eastAsia" w:ascii="仿宋" w:hAnsi="仿宋" w:eastAsia="仿宋" w:cs="仿宋"/>
          <w:sz w:val="30"/>
          <w:szCs w:val="30"/>
        </w:rPr>
        <w:t>指为保障机构正常运转、完成日常工作任务而发生的人员支出和公用支出。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项目支出：</w:t>
      </w:r>
      <w:r>
        <w:rPr>
          <w:rFonts w:hint="eastAsia" w:ascii="仿宋" w:hAnsi="仿宋" w:eastAsia="仿宋" w:cs="仿宋"/>
          <w:sz w:val="30"/>
          <w:szCs w:val="30"/>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“三公”经费：</w:t>
      </w:r>
      <w:r>
        <w:rPr>
          <w:rFonts w:hint="eastAsia" w:ascii="仿宋" w:hAnsi="仿宋" w:eastAsia="仿宋" w:cs="仿宋"/>
          <w:sz w:val="30"/>
          <w:szCs w:val="30"/>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机关运行经费：</w:t>
      </w:r>
      <w:r>
        <w:rPr>
          <w:rFonts w:hint="eastAsia" w:ascii="仿宋" w:hAnsi="仿宋" w:eastAsia="仿宋" w:cs="仿宋"/>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220" w:lineRule="atLeast"/>
        <w:rPr>
          <w:rFonts w:hint="eastAsia" w:ascii="仿宋" w:hAnsi="仿宋" w:eastAsia="仿宋" w:cs="仿宋"/>
          <w:b/>
          <w:bCs/>
          <w:sz w:val="30"/>
          <w:szCs w:val="30"/>
          <w:lang w:val="en-US" w:eastAsia="zh-CN"/>
        </w:rPr>
      </w:pPr>
    </w:p>
    <w:sectPr>
      <w:pgSz w:w="16838" w:h="11906" w:orient="landscape"/>
      <w:pgMar w:top="624" w:right="1814" w:bottom="62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38EDF"/>
    <w:multiLevelType w:val="singleLevel"/>
    <w:tmpl w:val="C9138EDF"/>
    <w:lvl w:ilvl="0" w:tentative="0">
      <w:start w:val="5"/>
      <w:numFmt w:val="chineseCounting"/>
      <w:suff w:val="nothing"/>
      <w:lvlText w:val="%1、"/>
      <w:lvlJc w:val="left"/>
      <w:rPr>
        <w:rFonts w:hint="eastAsia"/>
      </w:rPr>
    </w:lvl>
  </w:abstractNum>
  <w:abstractNum w:abstractNumId="1">
    <w:nsid w:val="D9368894"/>
    <w:multiLevelType w:val="singleLevel"/>
    <w:tmpl w:val="D9368894"/>
    <w:lvl w:ilvl="0" w:tentative="0">
      <w:start w:val="1"/>
      <w:numFmt w:val="decimal"/>
      <w:suff w:val="nothing"/>
      <w:lvlText w:val="（%1）"/>
      <w:lvlJc w:val="left"/>
    </w:lvl>
  </w:abstractNum>
  <w:abstractNum w:abstractNumId="2">
    <w:nsid w:val="3FD1B58F"/>
    <w:multiLevelType w:val="singleLevel"/>
    <w:tmpl w:val="3FD1B58F"/>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0201"/>
    <w:rsid w:val="0017041F"/>
    <w:rsid w:val="001E0A0F"/>
    <w:rsid w:val="0029592B"/>
    <w:rsid w:val="002F479B"/>
    <w:rsid w:val="00311A12"/>
    <w:rsid w:val="00323B43"/>
    <w:rsid w:val="003D37D8"/>
    <w:rsid w:val="004037C8"/>
    <w:rsid w:val="00426133"/>
    <w:rsid w:val="004358AB"/>
    <w:rsid w:val="0047734A"/>
    <w:rsid w:val="004E6C29"/>
    <w:rsid w:val="00637D30"/>
    <w:rsid w:val="006A2F5A"/>
    <w:rsid w:val="006B116D"/>
    <w:rsid w:val="006E3265"/>
    <w:rsid w:val="007753AD"/>
    <w:rsid w:val="007A11B1"/>
    <w:rsid w:val="007F76B0"/>
    <w:rsid w:val="008879BF"/>
    <w:rsid w:val="008B7726"/>
    <w:rsid w:val="008F1B76"/>
    <w:rsid w:val="0090483D"/>
    <w:rsid w:val="00981D19"/>
    <w:rsid w:val="00A74118"/>
    <w:rsid w:val="00AA6264"/>
    <w:rsid w:val="00B82DF3"/>
    <w:rsid w:val="00C9209D"/>
    <w:rsid w:val="00CA0DB9"/>
    <w:rsid w:val="00D31D50"/>
    <w:rsid w:val="00D82B2C"/>
    <w:rsid w:val="00DC746A"/>
    <w:rsid w:val="00F15268"/>
    <w:rsid w:val="00F33182"/>
    <w:rsid w:val="01027CB1"/>
    <w:rsid w:val="01A70F3C"/>
    <w:rsid w:val="020304B3"/>
    <w:rsid w:val="029E6FB5"/>
    <w:rsid w:val="02BC2730"/>
    <w:rsid w:val="02FA35BE"/>
    <w:rsid w:val="03E85794"/>
    <w:rsid w:val="055D2042"/>
    <w:rsid w:val="067D0D9F"/>
    <w:rsid w:val="06AC4331"/>
    <w:rsid w:val="0731250F"/>
    <w:rsid w:val="08346FF2"/>
    <w:rsid w:val="09BA232C"/>
    <w:rsid w:val="0ABC6534"/>
    <w:rsid w:val="0AD36ED0"/>
    <w:rsid w:val="0B976FF9"/>
    <w:rsid w:val="100B51E1"/>
    <w:rsid w:val="1015362A"/>
    <w:rsid w:val="10F70847"/>
    <w:rsid w:val="110170C5"/>
    <w:rsid w:val="1135698E"/>
    <w:rsid w:val="11CF26F9"/>
    <w:rsid w:val="129A38F8"/>
    <w:rsid w:val="14FE6DAE"/>
    <w:rsid w:val="173460F2"/>
    <w:rsid w:val="186A3AD0"/>
    <w:rsid w:val="18E11F83"/>
    <w:rsid w:val="1986562D"/>
    <w:rsid w:val="19BF57A3"/>
    <w:rsid w:val="1AD06382"/>
    <w:rsid w:val="1B0A01E6"/>
    <w:rsid w:val="1BBC4CFF"/>
    <w:rsid w:val="1C7A48B1"/>
    <w:rsid w:val="1D442F26"/>
    <w:rsid w:val="1F7D1AEF"/>
    <w:rsid w:val="1F8458A1"/>
    <w:rsid w:val="20436C3B"/>
    <w:rsid w:val="2146706E"/>
    <w:rsid w:val="214D69E7"/>
    <w:rsid w:val="21657F42"/>
    <w:rsid w:val="234F46E5"/>
    <w:rsid w:val="23F9029E"/>
    <w:rsid w:val="25AC4CD1"/>
    <w:rsid w:val="271A0B2E"/>
    <w:rsid w:val="29B75E8C"/>
    <w:rsid w:val="29FA4033"/>
    <w:rsid w:val="2AB4272C"/>
    <w:rsid w:val="2B047488"/>
    <w:rsid w:val="2DFD7328"/>
    <w:rsid w:val="2E595C75"/>
    <w:rsid w:val="2ED758FB"/>
    <w:rsid w:val="2F781E75"/>
    <w:rsid w:val="2F8C1541"/>
    <w:rsid w:val="33C23647"/>
    <w:rsid w:val="33CE0AD0"/>
    <w:rsid w:val="33EE1498"/>
    <w:rsid w:val="33FF664C"/>
    <w:rsid w:val="342E474E"/>
    <w:rsid w:val="34B03EB1"/>
    <w:rsid w:val="35A851AD"/>
    <w:rsid w:val="365A554F"/>
    <w:rsid w:val="36A643C0"/>
    <w:rsid w:val="36F648C4"/>
    <w:rsid w:val="37916DA4"/>
    <w:rsid w:val="3942693C"/>
    <w:rsid w:val="3A0A19AB"/>
    <w:rsid w:val="3A4D3043"/>
    <w:rsid w:val="3A5E32F4"/>
    <w:rsid w:val="3AA62D2F"/>
    <w:rsid w:val="3C5D04EC"/>
    <w:rsid w:val="3DF5445F"/>
    <w:rsid w:val="3F6732EC"/>
    <w:rsid w:val="3FC844F9"/>
    <w:rsid w:val="416A59BF"/>
    <w:rsid w:val="43C00A1B"/>
    <w:rsid w:val="43D44B2B"/>
    <w:rsid w:val="4465192A"/>
    <w:rsid w:val="4723390C"/>
    <w:rsid w:val="48D851E4"/>
    <w:rsid w:val="48F03206"/>
    <w:rsid w:val="4A1F32D7"/>
    <w:rsid w:val="4B6F3B2C"/>
    <w:rsid w:val="4C5F6536"/>
    <w:rsid w:val="4CEA425B"/>
    <w:rsid w:val="4DF417FC"/>
    <w:rsid w:val="4EB40BDE"/>
    <w:rsid w:val="4F143862"/>
    <w:rsid w:val="50A81F09"/>
    <w:rsid w:val="5224274D"/>
    <w:rsid w:val="52F63FDC"/>
    <w:rsid w:val="5382707A"/>
    <w:rsid w:val="53CF6173"/>
    <w:rsid w:val="53F17297"/>
    <w:rsid w:val="544E455C"/>
    <w:rsid w:val="54BB392C"/>
    <w:rsid w:val="54C93DC6"/>
    <w:rsid w:val="557F2AD1"/>
    <w:rsid w:val="55CE356E"/>
    <w:rsid w:val="56DA607E"/>
    <w:rsid w:val="599F1AFF"/>
    <w:rsid w:val="5AE43281"/>
    <w:rsid w:val="5B127BBA"/>
    <w:rsid w:val="5BD74F35"/>
    <w:rsid w:val="5C08436B"/>
    <w:rsid w:val="5EAE23EA"/>
    <w:rsid w:val="5F9522F4"/>
    <w:rsid w:val="62351373"/>
    <w:rsid w:val="62A05F24"/>
    <w:rsid w:val="62B152C4"/>
    <w:rsid w:val="631C1679"/>
    <w:rsid w:val="64531040"/>
    <w:rsid w:val="64577432"/>
    <w:rsid w:val="656827C8"/>
    <w:rsid w:val="65FC6D35"/>
    <w:rsid w:val="66517C4C"/>
    <w:rsid w:val="666A6BB6"/>
    <w:rsid w:val="66FF5041"/>
    <w:rsid w:val="672F553E"/>
    <w:rsid w:val="67776C9E"/>
    <w:rsid w:val="681D2D34"/>
    <w:rsid w:val="69B8194C"/>
    <w:rsid w:val="69FC3A89"/>
    <w:rsid w:val="6C794FDD"/>
    <w:rsid w:val="6D9533C6"/>
    <w:rsid w:val="6DBF5122"/>
    <w:rsid w:val="6E795F36"/>
    <w:rsid w:val="6EF1739A"/>
    <w:rsid w:val="6F3229DC"/>
    <w:rsid w:val="6FA534C7"/>
    <w:rsid w:val="71210782"/>
    <w:rsid w:val="72D703FE"/>
    <w:rsid w:val="72EC0D16"/>
    <w:rsid w:val="73CC531F"/>
    <w:rsid w:val="743015C3"/>
    <w:rsid w:val="746E1F7E"/>
    <w:rsid w:val="78166961"/>
    <w:rsid w:val="78364B65"/>
    <w:rsid w:val="78493C5C"/>
    <w:rsid w:val="79385ADC"/>
    <w:rsid w:val="7B026ABF"/>
    <w:rsid w:val="7B334F3C"/>
    <w:rsid w:val="7C6B7409"/>
    <w:rsid w:val="7E91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517</Characters>
  <Lines>4</Lines>
  <Paragraphs>1</Paragraphs>
  <TotalTime>2</TotalTime>
  <ScaleCrop>false</ScaleCrop>
  <LinksUpToDate>false</LinksUpToDate>
  <CharactersWithSpaces>606</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荟昕</cp:lastModifiedBy>
  <dcterms:modified xsi:type="dcterms:W3CDTF">2021-12-15T09:08:51Z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7E0DA3DC244746F393E1ADEC76FDCDB4</vt:lpwstr>
  </property>
</Properties>
</file>