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浉河区</w:t>
      </w:r>
      <w:r>
        <w:rPr>
          <w:rFonts w:hint="eastAsia" w:ascii="宋体" w:hAnsi="宋体" w:eastAsia="宋体" w:cs="宋体"/>
          <w:b/>
          <w:sz w:val="44"/>
          <w:szCs w:val="44"/>
        </w:rPr>
        <w:t>加强扶贫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资金</w:t>
      </w:r>
      <w:r>
        <w:rPr>
          <w:rFonts w:hint="eastAsia" w:ascii="宋体" w:hAnsi="宋体" w:eastAsia="宋体" w:cs="宋体"/>
          <w:b/>
          <w:sz w:val="44"/>
          <w:szCs w:val="44"/>
        </w:rPr>
        <w:t>管理提高扶贫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资金使用效益的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实施细则</w:t>
      </w:r>
      <w:bookmarkEnd w:id="0"/>
    </w:p>
    <w:p>
      <w:pPr>
        <w:spacing w:line="360" w:lineRule="auto"/>
        <w:rPr>
          <w:rFonts w:hint="eastAsia" w:ascii="Adobe 仿宋 Std R" w:hAnsi="Adobe 仿宋 Std R" w:eastAsia="Adobe 仿宋 Std R"/>
          <w:sz w:val="30"/>
          <w:szCs w:val="30"/>
        </w:rPr>
      </w:pPr>
      <w:r>
        <w:rPr>
          <w:rFonts w:hint="eastAsia" w:ascii="Adobe 仿宋 Std R" w:hAnsi="Adobe 仿宋 Std R" w:eastAsia="Adobe 仿宋 Std R"/>
          <w:sz w:val="30"/>
          <w:szCs w:val="30"/>
        </w:rPr>
        <w:t xml:space="preserve">   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河南省扶贫资金管理办法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《关于印发&lt;河南省扶贫项目建设管理问题专项治理工作方案&gt;等3个方案的通知》（豫脱贫组〔2018〕41号）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文件精神，</w:t>
      </w:r>
      <w:r>
        <w:rPr>
          <w:rFonts w:hint="eastAsia" w:ascii="仿宋_GB2312" w:hAnsi="仿宋_GB2312" w:eastAsia="仿宋_GB2312" w:cs="仿宋_GB2312"/>
          <w:sz w:val="30"/>
          <w:szCs w:val="30"/>
        </w:rPr>
        <w:t>为加强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扶</w:t>
      </w:r>
      <w:r>
        <w:rPr>
          <w:rFonts w:hint="eastAsia" w:ascii="仿宋_GB2312" w:hAnsi="仿宋_GB2312" w:eastAsia="仿宋_GB2312" w:cs="仿宋_GB2312"/>
          <w:sz w:val="30"/>
          <w:szCs w:val="30"/>
        </w:rPr>
        <w:t>贫项目管理，优化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实施流程，切实解决扶贫资金支出进度慢问题，提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扶贫资金使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0"/>
          <w:szCs w:val="30"/>
        </w:rPr>
        <w:t>效益，现就提高扶贫资金使用效益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制定本实施细则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、按照规定及时拨付工程预付款。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对已按照规定完成招投标程序并已签订施工合同的扶贫项目，项目主管部门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(单位)要严格按照合同约定，督促施工单位按时进场组织施工。区财政部门根据合同约定及时拨付工程预付款。凡因合同条款未约定支付工程预付款或工程预付款低于30%的，要求建设单位及时修订相关条款或签订补协议，补拨工程预付款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、规范合同支付条款，及时拨付项目工程进度款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项目建设单位要与项目施工单位签订规范的工程建设合同，根据项目建设投资进度、建设工期和施工进度，约定工程款支付的相关条款，相应增加报账次数。凡因签订的合同条款不合理、影响工程进度款拨付的，项目建设单位要抓紧与施工单位修订合同或签订相关补充条款，加快工程进度款拨付。项目主管部门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(单位)对施工单位提交的报账拨款申请资料要在3个工作日内审核完毕，并向财政部门申请报账拨款。暂不具备报账条件的。经项目主管部门(单位)对项目建设进度确认并提出支付申请，区财政部门可按照比工程实际进度低10%的比例拨付工程款。</w:t>
      </w:r>
    </w:p>
    <w:p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及时办结工程项目结算和决算编制审核业务。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项目完工后，区审计部门和财政评审机构要及时跟进完工项目的决算评审、决算审计、限时办结决算手续。对工程质量验收合格但尚未评审、决算审计的扶贫项目，建设单位凭工程质量验收报告，可按工程款的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80%申请拨款，待决算手续完备后支付除留置工程质保金外的剩余资金。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四、合理调整留置工程质保金比例。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认真执行留置工程质保金的相关规定，工程质保金留置比例过高的，要根据项目投资规模、质保期限及质保任务量调整质保金留置比例。质保期满要按规定及时支付留置的质保金，根据住房城乡建设部、财政部《关于印发建设工程质量保证金管理办法的通知》（建质【2017】138号）文件规定，区级安排项目预留质保金为工程决算价的3%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五、做好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前置项目投资评审。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财政投资评审的有关规定，凡需进行投资评审的项目，财政部门要提前组织对相关项目投资预算进行评审。根据工作需要可聘请第三方机构参与投资评审，缩短评审时间。项目一经评审，主管部门要及时做好投资评审结论与政府采购、招投标等后续工作衔接，加快相关工作进程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加强项目评审论证。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制度程序，对申报入库的扶贫项目，按照项目类别组织相关部门和专家进行集中评审论证，依照评审标准严把项目评审论证关。需要实地核查勘验的项目，要组织相关人员进行实地核查勘验，及时掌握第一手资料，确保评审入库的项目真实、可靠、可行，提高入库项目质量，确保可以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</w:rPr>
        <w:t>开工建设。为提高项目评审质量，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浉河区</w:t>
      </w:r>
      <w:r>
        <w:rPr>
          <w:rFonts w:hint="eastAsia" w:ascii="仿宋_GB2312" w:hAnsi="仿宋_GB2312" w:eastAsia="仿宋_GB2312" w:cs="仿宋_GB2312"/>
          <w:sz w:val="30"/>
          <w:szCs w:val="30"/>
        </w:rPr>
        <w:t>脱贫攻坚领导小组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组织制定扶贫项目评审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论证</w:t>
      </w:r>
      <w:r>
        <w:rPr>
          <w:rFonts w:hint="eastAsia" w:ascii="仿宋_GB2312" w:hAnsi="仿宋_GB2312" w:eastAsia="仿宋_GB2312" w:cs="仿宋_GB2312"/>
          <w:sz w:val="30"/>
          <w:szCs w:val="30"/>
        </w:rPr>
        <w:t>的相关制度和工作程序，建立相对固定的扶贫项目评审专家库。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七、提高工作效率，缩短拨款时间。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财政部门在收到项目主管单位送达报账资料的同时进行资料审核，经审核无误后在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1日内报送区政府审批，在接到区政府批件后2个工作日内拨付到位。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八、建立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协调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机制，推进项目进度。</w:t>
      </w:r>
      <w:r>
        <w:rPr>
          <w:rFonts w:hint="eastAsia" w:ascii="仿宋_GB2312" w:hAnsi="仿宋_GB2312" w:eastAsia="仿宋_GB2312" w:cs="仿宋_GB2312"/>
          <w:sz w:val="30"/>
          <w:szCs w:val="30"/>
        </w:rPr>
        <w:t>财政部门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积极与项目主管部门进行协调衔接，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在上级和本级安排的扶贫资金到位后，要会同有关部门对接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项目库</w:t>
      </w:r>
      <w:r>
        <w:rPr>
          <w:rFonts w:hint="eastAsia" w:ascii="仿宋_GB2312" w:hAnsi="仿宋_GB2312" w:eastAsia="仿宋_GB2312" w:cs="仿宋_GB2312"/>
          <w:sz w:val="30"/>
          <w:szCs w:val="30"/>
        </w:rPr>
        <w:t>及时提出资金安排的初步建议，报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区政府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0"/>
          <w:szCs w:val="30"/>
        </w:rPr>
        <w:t>后，将资金和项目一并下达到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项目主管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扶贫资金审批拨付要本着特事特办的原则，申请资金拨付手续必备的批准文件、项目建设合同、正式发票齐备后，原则上安排及时拨付资金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360" w:lineRule="auto"/>
        <w:ind w:firstLine="64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九、建立长效机制，强化监督管理。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财政部门和主管部门按照职责分工，各司其职，各负其责。项目主管部门负责项目的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实施和资金使用管理工作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，财政部门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负责扶贫资金分配使用的监督工作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实现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扶</w:t>
      </w:r>
      <w:r>
        <w:rPr>
          <w:rFonts w:hint="eastAsia" w:ascii="仿宋_GB2312" w:hAnsi="仿宋_GB2312" w:eastAsia="仿宋_GB2312" w:cs="仿宋_GB2312"/>
          <w:sz w:val="30"/>
          <w:szCs w:val="30"/>
        </w:rPr>
        <w:t>贫项目和资金管理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0"/>
          <w:szCs w:val="30"/>
        </w:rPr>
        <w:t>过程覆盖，对每个环节都要制定具体的业务办理操作规范，形成项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管理流程图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完善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制度体系。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（此页无正文）</w:t>
      </w:r>
    </w:p>
    <w:p>
      <w:pPr>
        <w:spacing w:line="360" w:lineRule="auto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浉河区财政局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2018年12月3日          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D574A"/>
    <w:rsid w:val="030C4EBF"/>
    <w:rsid w:val="0C3C320D"/>
    <w:rsid w:val="0EA57F4A"/>
    <w:rsid w:val="11F00C3E"/>
    <w:rsid w:val="1B4E2BC2"/>
    <w:rsid w:val="1FFB1D03"/>
    <w:rsid w:val="22257A2D"/>
    <w:rsid w:val="237A4AE2"/>
    <w:rsid w:val="2E5A183A"/>
    <w:rsid w:val="3B125469"/>
    <w:rsid w:val="438E4D2E"/>
    <w:rsid w:val="4C146630"/>
    <w:rsid w:val="4D9D574A"/>
    <w:rsid w:val="535B3F9E"/>
    <w:rsid w:val="6CF41215"/>
    <w:rsid w:val="712301C5"/>
    <w:rsid w:val="74E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2018-10-15T00:26:00Z</dcterms:created>
  <dc:creator>toome</dc:creator>
  <cp:lastModifiedBy>风轻扬</cp:lastModifiedBy>
  <dcterms:modified xsi:type="dcterms:W3CDTF">2022-01-17T06:53:47Z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8DACD8AE9C1C4FFC90DB91409510D1F1</vt:lpwstr>
  </property>
</Properties>
</file>