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207" w:rsidRDefault="00AE401C">
      <w:pPr>
        <w:spacing w:after="39" w:line="259" w:lineRule="auto"/>
        <w:ind w:left="473" w:firstLine="0"/>
        <w:jc w:val="center"/>
      </w:pPr>
      <w:bookmarkStart w:id="0" w:name="_GoBack"/>
      <w:bookmarkEnd w:id="0"/>
      <w:r>
        <w:rPr>
          <w:sz w:val="28"/>
        </w:rPr>
        <w:t>人社局</w:t>
      </w:r>
      <w:r>
        <w:rPr>
          <w:rFonts w:ascii="Arial" w:eastAsia="Arial" w:hAnsi="Arial" w:cs="Arial"/>
          <w:sz w:val="28"/>
        </w:rPr>
        <w:t>2021</w:t>
      </w:r>
      <w:r>
        <w:rPr>
          <w:sz w:val="28"/>
        </w:rPr>
        <w:t>年政府信息公开工作年度报告</w:t>
      </w:r>
    </w:p>
    <w:p w:rsidR="004B4207" w:rsidRDefault="00AE401C">
      <w:pPr>
        <w:spacing w:after="279" w:line="259" w:lineRule="auto"/>
        <w:ind w:left="-5"/>
      </w:pPr>
      <w:r>
        <w:rPr>
          <w:b/>
        </w:rPr>
        <w:t>一、总体情况</w:t>
      </w:r>
    </w:p>
    <w:p w:rsidR="004B4207" w:rsidRDefault="00AE401C">
      <w:pPr>
        <w:pStyle w:val="1"/>
      </w:pPr>
      <w:r>
        <w:t>一、总体情况</w:t>
      </w:r>
    </w:p>
    <w:p w:rsidR="004B4207" w:rsidRDefault="00AE401C">
      <w:pPr>
        <w:ind w:left="446"/>
      </w:pPr>
      <w:r>
        <w:rPr>
          <w:rFonts w:ascii="Arial" w:eastAsia="Arial" w:hAnsi="Arial" w:cs="Arial"/>
        </w:rPr>
        <w:t xml:space="preserve">    </w:t>
      </w:r>
      <w:r>
        <w:t>按照《中华人民共和国政府信息公开条例》要求，浉河区人力资源和社会保障局认真做好浉河区人社局政府信息公开工作，严格把公开透明作为依法行政的基本要求，不断扩大公开范围，细化公开内容，拓展公开渠道，进一步公开涉及公众切身利益或社会高度关注的重要改革</w:t>
      </w:r>
    </w:p>
    <w:p w:rsidR="004B4207" w:rsidRDefault="00AE401C">
      <w:pPr>
        <w:ind w:left="446"/>
      </w:pPr>
      <w:r>
        <w:t>方案、重大政策措施、重点工程项目等政府信息，切实把政府信息公开工作落到实处。现将我局本年度信息公开情况总结如下：</w:t>
      </w:r>
    </w:p>
    <w:p w:rsidR="004B4207" w:rsidRDefault="00AE401C">
      <w:pPr>
        <w:numPr>
          <w:ilvl w:val="0"/>
          <w:numId w:val="1"/>
        </w:numPr>
      </w:pPr>
      <w:r>
        <w:t>健全信息公开工作制度</w:t>
      </w:r>
      <w:r>
        <w:rPr>
          <w:rFonts w:ascii="Arial" w:eastAsia="Arial" w:hAnsi="Arial" w:cs="Arial"/>
        </w:rPr>
        <w:t xml:space="preserve">    </w:t>
      </w:r>
      <w:r>
        <w:t>人力资源社会保障工作政策性强、涉及面广，事关职工群众的切身利益。社会各界对人力资源社会保障工作的关注度越来越高，要求及时公开相关政策法规、行政审批、办事指南等信息的呼声显得尤为迫切。为确保政府信息公开工作扎实推进，我局强化信息公开制度，指派专人兼职政府信息公开工作，及时上报信息公开项目和内容，建立常态化工作机制。强化信息发布制度，所有信息发布由局办公室管理，建立信息发布协调制度，确保安全性与准确性。</w:t>
      </w:r>
    </w:p>
    <w:p w:rsidR="004B4207" w:rsidRDefault="00AE401C">
      <w:pPr>
        <w:numPr>
          <w:ilvl w:val="0"/>
          <w:numId w:val="1"/>
        </w:numPr>
      </w:pPr>
      <w:r>
        <w:t>提升信息公开工作质量</w:t>
      </w:r>
      <w:r>
        <w:rPr>
          <w:rFonts w:ascii="Arial" w:eastAsia="Arial" w:hAnsi="Arial" w:cs="Arial"/>
        </w:rPr>
        <w:t xml:space="preserve">    </w:t>
      </w:r>
      <w:r>
        <w:t>对浉河区人社局政府信息公开的内容进行梳理，尽量加大公开力度，充实相关内容，加强政</w:t>
      </w:r>
      <w:r>
        <w:t>府信息公开公示，做到办事程序公开、办事依据公开、办事时限公开、办事结果公开。同时加强干部队伍培训，组织局属各股室、二级机构干部职工学习政府信息公开有关文件法规，并进行相关培训，促进依法管理和服务。</w:t>
      </w:r>
    </w:p>
    <w:p w:rsidR="004B4207" w:rsidRDefault="00AE401C">
      <w:pPr>
        <w:numPr>
          <w:ilvl w:val="0"/>
          <w:numId w:val="1"/>
        </w:numPr>
        <w:spacing w:after="489"/>
      </w:pPr>
      <w:r>
        <w:t>推进重点领域信息公开</w:t>
      </w:r>
      <w:r>
        <w:rPr>
          <w:rFonts w:ascii="Arial" w:eastAsia="Arial" w:hAnsi="Arial" w:cs="Arial"/>
        </w:rPr>
        <w:t xml:space="preserve">    </w:t>
      </w:r>
      <w:r>
        <w:t>认真做好重点领域信息公开，重点围绕养老、工伤、失业等各项保险政策的贯彻实施出台的规范性文件，各项保险办理程序、所需材料等所有涉及广大人民群众切身利益的事项作为政府信息公开的重点，在政府门户网上予以公开。对事业单位工作人员的考录，从发布信息、报名、审核、笔试、面试、体检、考察等每一个环节</w:t>
      </w:r>
      <w:r>
        <w:t>都在政府门户网上公开公示，提供举报电话，接受广大群众监督。通过浉河区政府门户网及时发布就业创业信息，为全区广大劳动者免费提供招聘、求职、培训、创业扶持、政策咨询等公共就业服务。</w:t>
      </w:r>
    </w:p>
    <w:p w:rsidR="004B4207" w:rsidRDefault="00AE401C">
      <w:pPr>
        <w:pStyle w:val="2"/>
        <w:ind w:left="-5"/>
      </w:pPr>
      <w:r>
        <w:t>二、主动公开政府信息情况</w:t>
      </w:r>
    </w:p>
    <w:tbl>
      <w:tblPr>
        <w:tblStyle w:val="TableGrid"/>
        <w:tblW w:w="10012" w:type="dxa"/>
        <w:tblInd w:w="354" w:type="dxa"/>
        <w:tblCellMar>
          <w:top w:w="99" w:type="dxa"/>
          <w:left w:w="0" w:type="dxa"/>
          <w:bottom w:w="0" w:type="dxa"/>
          <w:right w:w="137" w:type="dxa"/>
        </w:tblCellMar>
        <w:tblLook w:val="04A0" w:firstRow="1" w:lastRow="0" w:firstColumn="1" w:lastColumn="0" w:noHBand="0" w:noVBand="1"/>
      </w:tblPr>
      <w:tblGrid>
        <w:gridCol w:w="2647"/>
        <w:gridCol w:w="2455"/>
        <w:gridCol w:w="2455"/>
        <w:gridCol w:w="2455"/>
      </w:tblGrid>
      <w:tr w:rsidR="004B4207">
        <w:trPr>
          <w:trHeight w:val="401"/>
        </w:trPr>
        <w:tc>
          <w:tcPr>
            <w:tcW w:w="2648" w:type="dxa"/>
            <w:tcBorders>
              <w:top w:val="single" w:sz="3" w:space="0" w:color="000000"/>
              <w:left w:val="single" w:sz="3" w:space="0" w:color="000000"/>
              <w:bottom w:val="single" w:sz="3" w:space="0" w:color="000000"/>
              <w:right w:val="nil"/>
            </w:tcBorders>
          </w:tcPr>
          <w:p w:rsidR="004B4207" w:rsidRDefault="004B4207">
            <w:pPr>
              <w:spacing w:after="160" w:line="259" w:lineRule="auto"/>
              <w:ind w:left="0" w:firstLine="0"/>
            </w:pPr>
          </w:p>
        </w:tc>
        <w:tc>
          <w:tcPr>
            <w:tcW w:w="4910" w:type="dxa"/>
            <w:gridSpan w:val="2"/>
            <w:tcBorders>
              <w:top w:val="single" w:sz="3" w:space="0" w:color="000000"/>
              <w:left w:val="nil"/>
              <w:bottom w:val="single" w:sz="3" w:space="0" w:color="000000"/>
              <w:right w:val="nil"/>
            </w:tcBorders>
          </w:tcPr>
          <w:p w:rsidR="004B4207" w:rsidRDefault="00AE401C">
            <w:pPr>
              <w:spacing w:after="0" w:line="259" w:lineRule="auto"/>
              <w:ind w:left="0" w:right="56" w:firstLine="0"/>
              <w:jc w:val="center"/>
            </w:pPr>
            <w:r>
              <w:rPr>
                <w:sz w:val="14"/>
              </w:rPr>
              <w:t>第二十条第（一）项</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信息内容</w:t>
            </w:r>
          </w:p>
        </w:tc>
        <w:tc>
          <w:tcPr>
            <w:tcW w:w="2455"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6" w:firstLine="0"/>
              <w:jc w:val="center"/>
            </w:pPr>
            <w:r>
              <w:rPr>
                <w:sz w:val="14"/>
              </w:rPr>
              <w:t>本年制发件数</w:t>
            </w:r>
          </w:p>
        </w:tc>
        <w:tc>
          <w:tcPr>
            <w:tcW w:w="2455"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本年废止件数</w:t>
            </w:r>
          </w:p>
        </w:tc>
        <w:tc>
          <w:tcPr>
            <w:tcW w:w="2455"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6" w:firstLine="0"/>
              <w:jc w:val="center"/>
            </w:pPr>
            <w:r>
              <w:rPr>
                <w:sz w:val="14"/>
              </w:rPr>
              <w:t>现行有效件数</w:t>
            </w: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规章</w:t>
            </w:r>
          </w:p>
        </w:tc>
        <w:tc>
          <w:tcPr>
            <w:tcW w:w="245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37" w:firstLine="0"/>
              <w:jc w:val="center"/>
            </w:pPr>
            <w:r>
              <w:rPr>
                <w:rFonts w:ascii="Arial" w:eastAsia="Arial" w:hAnsi="Arial" w:cs="Arial"/>
                <w:sz w:val="14"/>
              </w:rPr>
              <w:t>0</w:t>
            </w:r>
          </w:p>
        </w:tc>
        <w:tc>
          <w:tcPr>
            <w:tcW w:w="245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36" w:firstLine="0"/>
              <w:jc w:val="center"/>
            </w:pPr>
            <w:r>
              <w:rPr>
                <w:rFonts w:ascii="Arial" w:eastAsia="Arial" w:hAnsi="Arial" w:cs="Arial"/>
                <w:sz w:val="14"/>
              </w:rPr>
              <w:t>0</w:t>
            </w:r>
          </w:p>
        </w:tc>
        <w:tc>
          <w:tcPr>
            <w:tcW w:w="245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37" w:firstLine="0"/>
              <w:jc w:val="center"/>
            </w:pPr>
            <w:r>
              <w:rPr>
                <w:rFonts w:ascii="Arial" w:eastAsia="Arial" w:hAnsi="Arial" w:cs="Arial"/>
                <w:sz w:val="14"/>
              </w:rPr>
              <w:t>0</w:t>
            </w: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行政规范性文件</w:t>
            </w:r>
          </w:p>
        </w:tc>
        <w:tc>
          <w:tcPr>
            <w:tcW w:w="245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37" w:firstLine="0"/>
              <w:jc w:val="center"/>
            </w:pPr>
            <w:r>
              <w:rPr>
                <w:rFonts w:ascii="Arial" w:eastAsia="Arial" w:hAnsi="Arial" w:cs="Arial"/>
                <w:sz w:val="14"/>
              </w:rPr>
              <w:t>0</w:t>
            </w:r>
          </w:p>
        </w:tc>
        <w:tc>
          <w:tcPr>
            <w:tcW w:w="245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36" w:firstLine="0"/>
              <w:jc w:val="center"/>
            </w:pPr>
            <w:r>
              <w:rPr>
                <w:rFonts w:ascii="Arial" w:eastAsia="Arial" w:hAnsi="Arial" w:cs="Arial"/>
                <w:sz w:val="14"/>
              </w:rPr>
              <w:t>0</w:t>
            </w:r>
          </w:p>
        </w:tc>
        <w:tc>
          <w:tcPr>
            <w:tcW w:w="245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37" w:firstLine="0"/>
              <w:jc w:val="center"/>
            </w:pPr>
            <w:r>
              <w:rPr>
                <w:rFonts w:ascii="Arial" w:eastAsia="Arial" w:hAnsi="Arial" w:cs="Arial"/>
                <w:sz w:val="14"/>
              </w:rPr>
              <w:t>0</w:t>
            </w:r>
          </w:p>
        </w:tc>
      </w:tr>
      <w:tr w:rsidR="004B4207">
        <w:trPr>
          <w:trHeight w:val="401"/>
        </w:trPr>
        <w:tc>
          <w:tcPr>
            <w:tcW w:w="2648" w:type="dxa"/>
            <w:tcBorders>
              <w:top w:val="single" w:sz="3" w:space="0" w:color="000000"/>
              <w:left w:val="single" w:sz="3" w:space="0" w:color="000000"/>
              <w:bottom w:val="single" w:sz="3" w:space="0" w:color="000000"/>
              <w:right w:val="nil"/>
            </w:tcBorders>
          </w:tcPr>
          <w:p w:rsidR="004B4207" w:rsidRDefault="004B4207">
            <w:pPr>
              <w:spacing w:after="160" w:line="259" w:lineRule="auto"/>
              <w:ind w:left="0" w:firstLine="0"/>
            </w:pPr>
          </w:p>
        </w:tc>
        <w:tc>
          <w:tcPr>
            <w:tcW w:w="4910" w:type="dxa"/>
            <w:gridSpan w:val="2"/>
            <w:tcBorders>
              <w:top w:val="single" w:sz="3" w:space="0" w:color="000000"/>
              <w:left w:val="nil"/>
              <w:bottom w:val="single" w:sz="3" w:space="0" w:color="000000"/>
              <w:right w:val="nil"/>
            </w:tcBorders>
          </w:tcPr>
          <w:p w:rsidR="004B4207" w:rsidRDefault="00AE401C">
            <w:pPr>
              <w:spacing w:after="0" w:line="259" w:lineRule="auto"/>
              <w:ind w:left="0" w:right="56" w:firstLine="0"/>
              <w:jc w:val="center"/>
            </w:pPr>
            <w:r>
              <w:rPr>
                <w:sz w:val="14"/>
              </w:rPr>
              <w:t>第二十条第（五）项</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信息内容</w:t>
            </w:r>
          </w:p>
        </w:tc>
        <w:tc>
          <w:tcPr>
            <w:tcW w:w="4910" w:type="dxa"/>
            <w:gridSpan w:val="2"/>
            <w:tcBorders>
              <w:top w:val="single" w:sz="3" w:space="0" w:color="000000"/>
              <w:left w:val="single" w:sz="3" w:space="0" w:color="000000"/>
              <w:bottom w:val="single" w:sz="3" w:space="0" w:color="000000"/>
              <w:right w:val="nil"/>
            </w:tcBorders>
          </w:tcPr>
          <w:p w:rsidR="004B4207" w:rsidRDefault="00AE401C">
            <w:pPr>
              <w:spacing w:after="0" w:line="259" w:lineRule="auto"/>
              <w:ind w:left="3121" w:firstLine="0"/>
            </w:pPr>
            <w:r>
              <w:rPr>
                <w:sz w:val="14"/>
              </w:rPr>
              <w:t>本年处理决定数量</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行政许可</w:t>
            </w:r>
          </w:p>
        </w:tc>
        <w:tc>
          <w:tcPr>
            <w:tcW w:w="4910" w:type="dxa"/>
            <w:gridSpan w:val="2"/>
            <w:tcBorders>
              <w:top w:val="single" w:sz="3" w:space="0" w:color="000000"/>
              <w:left w:val="single" w:sz="3" w:space="0" w:color="000000"/>
              <w:bottom w:val="single" w:sz="3" w:space="0" w:color="000000"/>
              <w:right w:val="nil"/>
            </w:tcBorders>
            <w:vAlign w:val="center"/>
          </w:tcPr>
          <w:p w:rsidR="004B4207" w:rsidRDefault="00AE401C">
            <w:pPr>
              <w:spacing w:after="0" w:line="259" w:lineRule="auto"/>
              <w:ind w:left="2591" w:firstLine="0"/>
              <w:jc w:val="center"/>
            </w:pPr>
            <w:r>
              <w:rPr>
                <w:rFonts w:ascii="Arial" w:eastAsia="Arial" w:hAnsi="Arial" w:cs="Arial"/>
                <w:sz w:val="14"/>
              </w:rPr>
              <w:t>6</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nil"/>
            </w:tcBorders>
          </w:tcPr>
          <w:p w:rsidR="004B4207" w:rsidRDefault="004B4207">
            <w:pPr>
              <w:spacing w:after="160" w:line="259" w:lineRule="auto"/>
              <w:ind w:left="0" w:firstLine="0"/>
            </w:pPr>
          </w:p>
        </w:tc>
        <w:tc>
          <w:tcPr>
            <w:tcW w:w="4910" w:type="dxa"/>
            <w:gridSpan w:val="2"/>
            <w:tcBorders>
              <w:top w:val="single" w:sz="3" w:space="0" w:color="000000"/>
              <w:left w:val="nil"/>
              <w:bottom w:val="single" w:sz="3" w:space="0" w:color="000000"/>
              <w:right w:val="nil"/>
            </w:tcBorders>
          </w:tcPr>
          <w:p w:rsidR="004B4207" w:rsidRDefault="00AE401C">
            <w:pPr>
              <w:spacing w:after="0" w:line="259" w:lineRule="auto"/>
              <w:ind w:left="0" w:right="56" w:firstLine="0"/>
              <w:jc w:val="center"/>
            </w:pPr>
            <w:r>
              <w:rPr>
                <w:sz w:val="14"/>
              </w:rPr>
              <w:t>第二十条第（六）项</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信息内容</w:t>
            </w:r>
          </w:p>
        </w:tc>
        <w:tc>
          <w:tcPr>
            <w:tcW w:w="4910" w:type="dxa"/>
            <w:gridSpan w:val="2"/>
            <w:tcBorders>
              <w:top w:val="single" w:sz="3" w:space="0" w:color="000000"/>
              <w:left w:val="single" w:sz="3" w:space="0" w:color="000000"/>
              <w:bottom w:val="single" w:sz="3" w:space="0" w:color="000000"/>
              <w:right w:val="nil"/>
            </w:tcBorders>
          </w:tcPr>
          <w:p w:rsidR="004B4207" w:rsidRDefault="00AE401C">
            <w:pPr>
              <w:spacing w:after="0" w:line="259" w:lineRule="auto"/>
              <w:ind w:left="3121" w:firstLine="0"/>
            </w:pPr>
            <w:r>
              <w:rPr>
                <w:sz w:val="14"/>
              </w:rPr>
              <w:t>本年处理决定数量</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行政处罚</w:t>
            </w:r>
          </w:p>
        </w:tc>
        <w:tc>
          <w:tcPr>
            <w:tcW w:w="4910" w:type="dxa"/>
            <w:gridSpan w:val="2"/>
            <w:tcBorders>
              <w:top w:val="single" w:sz="3" w:space="0" w:color="000000"/>
              <w:left w:val="single" w:sz="3" w:space="0" w:color="000000"/>
              <w:bottom w:val="single" w:sz="3" w:space="0" w:color="000000"/>
              <w:right w:val="nil"/>
            </w:tcBorders>
            <w:vAlign w:val="center"/>
          </w:tcPr>
          <w:p w:rsidR="004B4207" w:rsidRDefault="00AE401C">
            <w:pPr>
              <w:spacing w:after="0" w:line="259" w:lineRule="auto"/>
              <w:ind w:left="2591" w:firstLine="0"/>
              <w:jc w:val="center"/>
            </w:pPr>
            <w:r>
              <w:rPr>
                <w:rFonts w:ascii="Arial" w:eastAsia="Arial" w:hAnsi="Arial" w:cs="Arial"/>
                <w:sz w:val="14"/>
              </w:rPr>
              <w:t>1</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行政强制</w:t>
            </w:r>
          </w:p>
        </w:tc>
        <w:tc>
          <w:tcPr>
            <w:tcW w:w="4910" w:type="dxa"/>
            <w:gridSpan w:val="2"/>
            <w:tcBorders>
              <w:top w:val="single" w:sz="3" w:space="0" w:color="000000"/>
              <w:left w:val="single" w:sz="3" w:space="0" w:color="000000"/>
              <w:bottom w:val="single" w:sz="3" w:space="0" w:color="000000"/>
              <w:right w:val="nil"/>
            </w:tcBorders>
            <w:vAlign w:val="center"/>
          </w:tcPr>
          <w:p w:rsidR="004B4207" w:rsidRDefault="00AE401C">
            <w:pPr>
              <w:spacing w:after="0" w:line="259" w:lineRule="auto"/>
              <w:ind w:left="2591" w:firstLine="0"/>
              <w:jc w:val="center"/>
            </w:pPr>
            <w:r>
              <w:rPr>
                <w:rFonts w:ascii="Arial" w:eastAsia="Arial" w:hAnsi="Arial" w:cs="Arial"/>
                <w:sz w:val="14"/>
              </w:rPr>
              <w:t>0</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nil"/>
            </w:tcBorders>
          </w:tcPr>
          <w:p w:rsidR="004B4207" w:rsidRDefault="004B4207">
            <w:pPr>
              <w:spacing w:after="160" w:line="259" w:lineRule="auto"/>
              <w:ind w:left="0" w:firstLine="0"/>
            </w:pPr>
          </w:p>
        </w:tc>
        <w:tc>
          <w:tcPr>
            <w:tcW w:w="4910" w:type="dxa"/>
            <w:gridSpan w:val="2"/>
            <w:tcBorders>
              <w:top w:val="single" w:sz="3" w:space="0" w:color="000000"/>
              <w:left w:val="nil"/>
              <w:bottom w:val="single" w:sz="3" w:space="0" w:color="000000"/>
              <w:right w:val="nil"/>
            </w:tcBorders>
          </w:tcPr>
          <w:p w:rsidR="004B4207" w:rsidRDefault="00AE401C">
            <w:pPr>
              <w:spacing w:after="0" w:line="259" w:lineRule="auto"/>
              <w:ind w:left="0" w:right="56" w:firstLine="0"/>
              <w:jc w:val="center"/>
            </w:pPr>
            <w:r>
              <w:rPr>
                <w:sz w:val="14"/>
              </w:rPr>
              <w:t>第二十条第（八）项</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信息内容</w:t>
            </w:r>
          </w:p>
        </w:tc>
        <w:tc>
          <w:tcPr>
            <w:tcW w:w="4910" w:type="dxa"/>
            <w:gridSpan w:val="2"/>
            <w:tcBorders>
              <w:top w:val="single" w:sz="3" w:space="0" w:color="000000"/>
              <w:left w:val="single" w:sz="3" w:space="0" w:color="000000"/>
              <w:bottom w:val="single" w:sz="3" w:space="0" w:color="000000"/>
              <w:right w:val="nil"/>
            </w:tcBorders>
          </w:tcPr>
          <w:p w:rsidR="004B4207" w:rsidRDefault="00AE401C">
            <w:pPr>
              <w:spacing w:after="0" w:line="259" w:lineRule="auto"/>
              <w:ind w:left="0" w:firstLine="0"/>
              <w:jc w:val="right"/>
            </w:pPr>
            <w:r>
              <w:rPr>
                <w:sz w:val="14"/>
              </w:rPr>
              <w:t>本年收费金额（单位：万元，保留</w:t>
            </w:r>
            <w:r>
              <w:rPr>
                <w:rFonts w:ascii="Arial" w:eastAsia="Arial" w:hAnsi="Arial" w:cs="Arial"/>
                <w:sz w:val="14"/>
              </w:rPr>
              <w:t>4</w:t>
            </w:r>
            <w:r>
              <w:rPr>
                <w:sz w:val="14"/>
              </w:rPr>
              <w:t>位小</w:t>
            </w:r>
          </w:p>
        </w:tc>
        <w:tc>
          <w:tcPr>
            <w:tcW w:w="2455" w:type="dxa"/>
            <w:tcBorders>
              <w:top w:val="single" w:sz="3" w:space="0" w:color="000000"/>
              <w:left w:val="nil"/>
              <w:bottom w:val="single" w:sz="3" w:space="0" w:color="000000"/>
              <w:right w:val="single" w:sz="3" w:space="0" w:color="000000"/>
            </w:tcBorders>
          </w:tcPr>
          <w:p w:rsidR="004B4207" w:rsidRDefault="00AE401C">
            <w:pPr>
              <w:spacing w:after="0" w:line="259" w:lineRule="auto"/>
              <w:ind w:left="-137" w:firstLine="0"/>
            </w:pPr>
            <w:r>
              <w:rPr>
                <w:sz w:val="14"/>
              </w:rPr>
              <w:t>数）</w:t>
            </w:r>
          </w:p>
        </w:tc>
      </w:tr>
      <w:tr w:rsidR="004B4207">
        <w:trPr>
          <w:trHeight w:val="401"/>
        </w:trPr>
        <w:tc>
          <w:tcPr>
            <w:tcW w:w="2648"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137" w:firstLine="0"/>
              <w:jc w:val="center"/>
            </w:pPr>
            <w:r>
              <w:rPr>
                <w:sz w:val="14"/>
              </w:rPr>
              <w:t>行政事业性收费</w:t>
            </w:r>
          </w:p>
        </w:tc>
        <w:tc>
          <w:tcPr>
            <w:tcW w:w="4910" w:type="dxa"/>
            <w:gridSpan w:val="2"/>
            <w:tcBorders>
              <w:top w:val="single" w:sz="3" w:space="0" w:color="000000"/>
              <w:left w:val="single" w:sz="3" w:space="0" w:color="000000"/>
              <w:bottom w:val="single" w:sz="3" w:space="0" w:color="000000"/>
              <w:right w:val="nil"/>
            </w:tcBorders>
            <w:vAlign w:val="center"/>
          </w:tcPr>
          <w:p w:rsidR="004B4207" w:rsidRDefault="00AE401C">
            <w:pPr>
              <w:spacing w:after="0" w:line="259" w:lineRule="auto"/>
              <w:ind w:left="2591" w:firstLine="0"/>
              <w:jc w:val="center"/>
            </w:pPr>
            <w:r>
              <w:rPr>
                <w:rFonts w:ascii="Arial" w:eastAsia="Arial" w:hAnsi="Arial" w:cs="Arial"/>
                <w:sz w:val="14"/>
              </w:rPr>
              <w:t>0</w:t>
            </w:r>
          </w:p>
        </w:tc>
        <w:tc>
          <w:tcPr>
            <w:tcW w:w="2455" w:type="dxa"/>
            <w:tcBorders>
              <w:top w:val="single" w:sz="3" w:space="0" w:color="000000"/>
              <w:left w:val="nil"/>
              <w:bottom w:val="single" w:sz="3" w:space="0" w:color="000000"/>
              <w:right w:val="single" w:sz="3" w:space="0" w:color="000000"/>
            </w:tcBorders>
          </w:tcPr>
          <w:p w:rsidR="004B4207" w:rsidRDefault="004B4207">
            <w:pPr>
              <w:spacing w:after="160" w:line="259" w:lineRule="auto"/>
              <w:ind w:left="0" w:firstLine="0"/>
            </w:pPr>
          </w:p>
        </w:tc>
      </w:tr>
    </w:tbl>
    <w:p w:rsidR="004B4207" w:rsidRDefault="00AE401C">
      <w:pPr>
        <w:pStyle w:val="2"/>
        <w:ind w:left="-5"/>
      </w:pPr>
      <w:r>
        <w:lastRenderedPageBreak/>
        <w:t>三、收到和处理政府信息公开申请情况</w:t>
      </w:r>
    </w:p>
    <w:tbl>
      <w:tblPr>
        <w:tblStyle w:val="TableGrid"/>
        <w:tblW w:w="10012" w:type="dxa"/>
        <w:tblInd w:w="354" w:type="dxa"/>
        <w:tblCellMar>
          <w:top w:w="28" w:type="dxa"/>
          <w:left w:w="12" w:type="dxa"/>
          <w:bottom w:w="0" w:type="dxa"/>
          <w:right w:w="0" w:type="dxa"/>
        </w:tblCellMar>
        <w:tblLook w:val="04A0" w:firstRow="1" w:lastRow="0" w:firstColumn="1" w:lastColumn="0" w:noHBand="0" w:noVBand="1"/>
      </w:tblPr>
      <w:tblGrid>
        <w:gridCol w:w="7"/>
        <w:gridCol w:w="1014"/>
        <w:gridCol w:w="851"/>
        <w:gridCol w:w="3878"/>
        <w:gridCol w:w="6"/>
        <w:gridCol w:w="602"/>
        <w:gridCol w:w="6"/>
        <w:gridCol w:w="602"/>
        <w:gridCol w:w="6"/>
        <w:gridCol w:w="602"/>
        <w:gridCol w:w="6"/>
        <w:gridCol w:w="602"/>
        <w:gridCol w:w="6"/>
        <w:gridCol w:w="602"/>
        <w:gridCol w:w="6"/>
        <w:gridCol w:w="602"/>
        <w:gridCol w:w="6"/>
        <w:gridCol w:w="602"/>
        <w:gridCol w:w="6"/>
      </w:tblGrid>
      <w:tr w:rsidR="004B4207">
        <w:trPr>
          <w:gridBefore w:val="1"/>
          <w:wBefore w:w="7" w:type="dxa"/>
          <w:trHeight w:val="401"/>
        </w:trPr>
        <w:tc>
          <w:tcPr>
            <w:tcW w:w="5757" w:type="dxa"/>
            <w:gridSpan w:val="4"/>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sz w:val="14"/>
              </w:rPr>
              <w:t>（本列数据的勾稽关系为：第一项加第二项之和，等于第三项加第四项之和）</w:t>
            </w:r>
          </w:p>
        </w:tc>
        <w:tc>
          <w:tcPr>
            <w:tcW w:w="4255" w:type="dxa"/>
            <w:gridSpan w:val="14"/>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申请人情况</w:t>
            </w:r>
          </w:p>
        </w:tc>
      </w:tr>
      <w:tr w:rsidR="004B4207">
        <w:trPr>
          <w:gridBefore w:val="1"/>
          <w:wBefore w:w="7" w:type="dxa"/>
          <w:trHeight w:val="401"/>
        </w:trPr>
        <w:tc>
          <w:tcPr>
            <w:tcW w:w="0" w:type="auto"/>
            <w:gridSpan w:val="4"/>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608" w:type="dxa"/>
            <w:gridSpan w:val="2"/>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70" w:firstLine="0"/>
              <w:jc w:val="both"/>
            </w:pPr>
            <w:r>
              <w:rPr>
                <w:sz w:val="14"/>
              </w:rPr>
              <w:t>自然人</w:t>
            </w:r>
          </w:p>
        </w:tc>
        <w:tc>
          <w:tcPr>
            <w:tcW w:w="3039" w:type="dxa"/>
            <w:gridSpan w:val="10"/>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法人或其他组织</w:t>
            </w:r>
          </w:p>
        </w:tc>
        <w:tc>
          <w:tcPr>
            <w:tcW w:w="608" w:type="dxa"/>
            <w:gridSpan w:val="2"/>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40" w:firstLine="0"/>
            </w:pPr>
            <w:r>
              <w:rPr>
                <w:sz w:val="14"/>
              </w:rPr>
              <w:t>总计</w:t>
            </w:r>
          </w:p>
        </w:tc>
      </w:tr>
      <w:tr w:rsidR="004B4207">
        <w:trPr>
          <w:gridBefore w:val="1"/>
          <w:wBefore w:w="7" w:type="dxa"/>
          <w:trHeight w:val="512"/>
        </w:trPr>
        <w:tc>
          <w:tcPr>
            <w:tcW w:w="0" w:type="auto"/>
            <w:gridSpan w:val="4"/>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0" w:type="auto"/>
            <w:gridSpan w:val="2"/>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both"/>
            </w:pPr>
            <w:r>
              <w:rPr>
                <w:sz w:val="14"/>
              </w:rPr>
              <w:t>商业企业</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both"/>
            </w:pPr>
            <w:r>
              <w:rPr>
                <w:sz w:val="14"/>
              </w:rPr>
              <w:t>科研机构</w:t>
            </w:r>
          </w:p>
        </w:tc>
        <w:tc>
          <w:tcPr>
            <w:tcW w:w="608" w:type="dxa"/>
            <w:gridSpan w:val="2"/>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社会公益组织</w:t>
            </w:r>
          </w:p>
        </w:tc>
        <w:tc>
          <w:tcPr>
            <w:tcW w:w="608" w:type="dxa"/>
            <w:gridSpan w:val="2"/>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法律服务机构</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40" w:firstLine="0"/>
            </w:pPr>
            <w:r>
              <w:rPr>
                <w:sz w:val="14"/>
              </w:rPr>
              <w:t>其他</w:t>
            </w:r>
          </w:p>
        </w:tc>
        <w:tc>
          <w:tcPr>
            <w:tcW w:w="0" w:type="auto"/>
            <w:gridSpan w:val="2"/>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r>
      <w:tr w:rsidR="004B4207">
        <w:trPr>
          <w:gridAfter w:val="1"/>
          <w:wAfter w:w="6" w:type="dxa"/>
          <w:trHeight w:val="397"/>
        </w:trPr>
        <w:tc>
          <w:tcPr>
            <w:tcW w:w="5757" w:type="dxa"/>
            <w:gridSpan w:val="4"/>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sz w:val="14"/>
              </w:rPr>
              <w:t>一、本年新收政府信息公开申请数量</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nil"/>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5757" w:type="dxa"/>
            <w:gridSpan w:val="4"/>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sz w:val="14"/>
              </w:rPr>
              <w:t>二、上年结转政府信息公开申请数量</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1023" w:type="dxa"/>
            <w:gridSpan w:val="2"/>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sz w:val="14"/>
              </w:rPr>
              <w:t>三、本年度办理结果</w:t>
            </w:r>
          </w:p>
        </w:tc>
        <w:tc>
          <w:tcPr>
            <w:tcW w:w="4734"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sz w:val="14"/>
              </w:rPr>
              <w:t>（一）予以公开</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4734"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sz w:val="14"/>
              </w:rPr>
              <w:t>（二）部分公开（区分处理的，只计这一情形，不计其他情形）</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852"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right="-2" w:firstLine="0"/>
              <w:jc w:val="center"/>
            </w:pPr>
            <w:r>
              <w:rPr>
                <w:sz w:val="14"/>
              </w:rPr>
              <w:t>（三）不予公开</w:t>
            </w: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1.</w:t>
            </w:r>
            <w:r>
              <w:rPr>
                <w:sz w:val="14"/>
              </w:rPr>
              <w:t>属于国家秘密</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2.</w:t>
            </w:r>
            <w:r>
              <w:rPr>
                <w:sz w:val="14"/>
              </w:rPr>
              <w:t>其他法律行政法规禁止公开</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3.</w:t>
            </w:r>
            <w:r>
              <w:rPr>
                <w:sz w:val="14"/>
              </w:rPr>
              <w:t>危及</w:t>
            </w:r>
            <w:r>
              <w:rPr>
                <w:rFonts w:ascii="Arial" w:eastAsia="Arial" w:hAnsi="Arial" w:cs="Arial"/>
                <w:sz w:val="14"/>
              </w:rPr>
              <w:t>“</w:t>
            </w:r>
            <w:r>
              <w:rPr>
                <w:sz w:val="14"/>
              </w:rPr>
              <w:t>三安全一稳定</w:t>
            </w:r>
            <w:r>
              <w:rPr>
                <w:rFonts w:ascii="Arial" w:eastAsia="Arial" w:hAnsi="Arial" w:cs="Arial"/>
                <w:sz w:val="14"/>
              </w:rPr>
              <w:t>”</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4.</w:t>
            </w:r>
            <w:r>
              <w:rPr>
                <w:sz w:val="14"/>
              </w:rPr>
              <w:t>保护第三方合法权益</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5.</w:t>
            </w:r>
            <w:r>
              <w:rPr>
                <w:sz w:val="14"/>
              </w:rPr>
              <w:t>属于三类内部事务信息</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6.</w:t>
            </w:r>
            <w:r>
              <w:rPr>
                <w:sz w:val="14"/>
              </w:rPr>
              <w:t>属于四类过程性信息</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7.</w:t>
            </w:r>
            <w:r>
              <w:rPr>
                <w:sz w:val="14"/>
              </w:rPr>
              <w:t>属于行政执法案卷</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8.</w:t>
            </w:r>
            <w:r>
              <w:rPr>
                <w:sz w:val="14"/>
              </w:rPr>
              <w:t>属于行政查询事项</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852"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right="-2" w:firstLine="0"/>
              <w:jc w:val="center"/>
            </w:pPr>
            <w:r>
              <w:rPr>
                <w:sz w:val="14"/>
              </w:rPr>
              <w:t>（四）无法提供</w:t>
            </w: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1.</w:t>
            </w:r>
            <w:r>
              <w:rPr>
                <w:sz w:val="14"/>
              </w:rPr>
              <w:t>本机关不掌握相关政府信息</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2.</w:t>
            </w:r>
            <w:r>
              <w:rPr>
                <w:sz w:val="14"/>
              </w:rPr>
              <w:t>没有现成信息需要另行制作</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3.</w:t>
            </w:r>
            <w:r>
              <w:rPr>
                <w:sz w:val="14"/>
              </w:rPr>
              <w:t>补正后申请内容仍不明确</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852"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right="-2" w:firstLine="0"/>
              <w:jc w:val="center"/>
            </w:pPr>
            <w:r>
              <w:rPr>
                <w:sz w:val="14"/>
              </w:rPr>
              <w:t>（五）不予处理</w:t>
            </w: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1.</w:t>
            </w:r>
            <w:r>
              <w:rPr>
                <w:sz w:val="14"/>
              </w:rPr>
              <w:t>信访举报投诉类申请</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2.</w:t>
            </w:r>
            <w:r>
              <w:rPr>
                <w:sz w:val="14"/>
              </w:rPr>
              <w:t>重复申请</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3.</w:t>
            </w:r>
            <w:r>
              <w:rPr>
                <w:sz w:val="14"/>
              </w:rPr>
              <w:t>要求提供公开出版物</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4.</w:t>
            </w:r>
            <w:r>
              <w:rPr>
                <w:sz w:val="14"/>
              </w:rPr>
              <w:t>无正当理由大量反复申请</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5.</w:t>
            </w:r>
            <w:r>
              <w:rPr>
                <w:sz w:val="14"/>
              </w:rPr>
              <w:t>要求行政机关确认或重新出具已获取信息</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512"/>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852"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right="-2" w:firstLine="0"/>
              <w:jc w:val="center"/>
            </w:pPr>
            <w:r>
              <w:rPr>
                <w:sz w:val="14"/>
              </w:rPr>
              <w:t>（六）其他处理</w:t>
            </w:r>
          </w:p>
        </w:tc>
        <w:tc>
          <w:tcPr>
            <w:tcW w:w="3883"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rFonts w:ascii="Arial" w:eastAsia="Arial" w:hAnsi="Arial" w:cs="Arial"/>
                <w:sz w:val="14"/>
              </w:rPr>
              <w:t>1.</w:t>
            </w:r>
            <w:r>
              <w:rPr>
                <w:sz w:val="14"/>
              </w:rPr>
              <w:t>申请人无正当理由逾期不补正、行政机关不再处理其政府信息公开申请</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512"/>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rFonts w:ascii="Arial" w:eastAsia="Arial" w:hAnsi="Arial" w:cs="Arial"/>
                <w:sz w:val="14"/>
              </w:rPr>
              <w:t>2.</w:t>
            </w:r>
            <w:r>
              <w:rPr>
                <w:sz w:val="14"/>
              </w:rPr>
              <w:t>申请人逾期未按收费通知要求缴纳费用、行政机关不再处理其政府信息公开申请</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nil"/>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3883"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3.</w:t>
            </w:r>
            <w:r>
              <w:rPr>
                <w:sz w:val="14"/>
              </w:rPr>
              <w:t>其他</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0" w:type="auto"/>
            <w:gridSpan w:val="2"/>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4734"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sz w:val="14"/>
              </w:rPr>
              <w:t>（七）总计</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r w:rsidR="004B4207">
        <w:trPr>
          <w:gridAfter w:val="1"/>
          <w:wAfter w:w="6" w:type="dxa"/>
          <w:trHeight w:val="401"/>
        </w:trPr>
        <w:tc>
          <w:tcPr>
            <w:tcW w:w="5757" w:type="dxa"/>
            <w:gridSpan w:val="4"/>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sz w:val="14"/>
              </w:rPr>
              <w:t>四、结转下年度继续办理</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2"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c>
          <w:tcPr>
            <w:tcW w:w="608" w:type="dxa"/>
            <w:gridSpan w:val="2"/>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 w:firstLine="0"/>
              <w:jc w:val="center"/>
            </w:pPr>
            <w:r>
              <w:rPr>
                <w:rFonts w:ascii="Arial" w:eastAsia="Arial" w:hAnsi="Arial" w:cs="Arial"/>
                <w:sz w:val="14"/>
              </w:rPr>
              <w:t>0</w:t>
            </w:r>
          </w:p>
        </w:tc>
      </w:tr>
    </w:tbl>
    <w:p w:rsidR="004B4207" w:rsidRDefault="00AE401C">
      <w:pPr>
        <w:pStyle w:val="2"/>
        <w:ind w:left="-5"/>
      </w:pPr>
      <w:r>
        <w:t>四、政府信息公开行政复议、行政诉讼情况</w:t>
      </w:r>
    </w:p>
    <w:tbl>
      <w:tblPr>
        <w:tblStyle w:val="TableGrid"/>
        <w:tblW w:w="10012" w:type="dxa"/>
        <w:tblInd w:w="354" w:type="dxa"/>
        <w:tblCellMar>
          <w:top w:w="99" w:type="dxa"/>
          <w:left w:w="47" w:type="dxa"/>
          <w:bottom w:w="0" w:type="dxa"/>
          <w:right w:w="47" w:type="dxa"/>
        </w:tblCellMar>
        <w:tblLook w:val="04A0" w:firstRow="1" w:lastRow="0" w:firstColumn="1" w:lastColumn="0" w:noHBand="0" w:noVBand="1"/>
      </w:tblPr>
      <w:tblGrid>
        <w:gridCol w:w="741"/>
        <w:gridCol w:w="741"/>
        <w:gridCol w:w="741"/>
        <w:gridCol w:w="741"/>
        <w:gridCol w:w="375"/>
        <w:gridCol w:w="741"/>
        <w:gridCol w:w="741"/>
        <w:gridCol w:w="741"/>
        <w:gridCol w:w="740"/>
        <w:gridCol w:w="375"/>
        <w:gridCol w:w="741"/>
        <w:gridCol w:w="741"/>
        <w:gridCol w:w="741"/>
        <w:gridCol w:w="741"/>
        <w:gridCol w:w="375"/>
      </w:tblGrid>
      <w:tr w:rsidR="004B4207">
        <w:trPr>
          <w:trHeight w:val="401"/>
        </w:trPr>
        <w:tc>
          <w:tcPr>
            <w:tcW w:w="3338" w:type="dxa"/>
            <w:gridSpan w:val="5"/>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行政复议</w:t>
            </w:r>
          </w:p>
        </w:tc>
        <w:tc>
          <w:tcPr>
            <w:tcW w:w="6674" w:type="dxa"/>
            <w:gridSpan w:val="10"/>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行政诉讼</w:t>
            </w:r>
          </w:p>
        </w:tc>
      </w:tr>
      <w:tr w:rsidR="004B4207">
        <w:trPr>
          <w:trHeight w:val="401"/>
        </w:trPr>
        <w:tc>
          <w:tcPr>
            <w:tcW w:w="741"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43" w:firstLine="0"/>
              <w:jc w:val="both"/>
            </w:pPr>
            <w:r>
              <w:rPr>
                <w:sz w:val="14"/>
              </w:rPr>
              <w:t>结果维持</w:t>
            </w:r>
          </w:p>
        </w:tc>
        <w:tc>
          <w:tcPr>
            <w:tcW w:w="741"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43" w:firstLine="0"/>
              <w:jc w:val="both"/>
            </w:pPr>
            <w:r>
              <w:rPr>
                <w:sz w:val="14"/>
              </w:rPr>
              <w:t>结果纠正</w:t>
            </w:r>
          </w:p>
        </w:tc>
        <w:tc>
          <w:tcPr>
            <w:tcW w:w="741"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43" w:firstLine="0"/>
              <w:jc w:val="both"/>
            </w:pPr>
            <w:r>
              <w:rPr>
                <w:sz w:val="14"/>
              </w:rPr>
              <w:t>其他结果</w:t>
            </w:r>
          </w:p>
        </w:tc>
        <w:tc>
          <w:tcPr>
            <w:tcW w:w="741"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43" w:firstLine="0"/>
              <w:jc w:val="both"/>
            </w:pPr>
            <w:r>
              <w:rPr>
                <w:sz w:val="14"/>
              </w:rPr>
              <w:t>尚未审结</w:t>
            </w:r>
          </w:p>
        </w:tc>
        <w:tc>
          <w:tcPr>
            <w:tcW w:w="375" w:type="dxa"/>
            <w:vMerge w:val="restart"/>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both"/>
            </w:pPr>
            <w:r>
              <w:rPr>
                <w:sz w:val="14"/>
              </w:rPr>
              <w:t>总计</w:t>
            </w:r>
          </w:p>
        </w:tc>
        <w:tc>
          <w:tcPr>
            <w:tcW w:w="3337" w:type="dxa"/>
            <w:gridSpan w:val="5"/>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未经复议直接起诉</w:t>
            </w:r>
          </w:p>
        </w:tc>
        <w:tc>
          <w:tcPr>
            <w:tcW w:w="3337" w:type="dxa"/>
            <w:gridSpan w:val="5"/>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center"/>
            </w:pPr>
            <w:r>
              <w:rPr>
                <w:sz w:val="14"/>
              </w:rPr>
              <w:t>复议后起诉</w:t>
            </w:r>
          </w:p>
        </w:tc>
      </w:tr>
      <w:tr w:rsidR="004B4207">
        <w:trPr>
          <w:trHeight w:val="401"/>
        </w:trPr>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0" w:type="auto"/>
            <w:vMerge/>
            <w:tcBorders>
              <w:top w:val="nil"/>
              <w:left w:val="single" w:sz="3" w:space="0" w:color="000000"/>
              <w:bottom w:val="single" w:sz="3" w:space="0" w:color="000000"/>
              <w:right w:val="single" w:sz="3" w:space="0" w:color="000000"/>
            </w:tcBorders>
          </w:tcPr>
          <w:p w:rsidR="004B4207" w:rsidRDefault="004B4207">
            <w:pPr>
              <w:spacing w:after="160" w:line="259" w:lineRule="auto"/>
              <w:ind w:left="0" w:firstLine="0"/>
            </w:pP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结果维持</w:t>
            </w: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结果纠正</w:t>
            </w: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其他结果</w:t>
            </w:r>
          </w:p>
        </w:tc>
        <w:tc>
          <w:tcPr>
            <w:tcW w:w="740"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尚未审结</w:t>
            </w:r>
          </w:p>
        </w:tc>
        <w:tc>
          <w:tcPr>
            <w:tcW w:w="375"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both"/>
            </w:pPr>
            <w:r>
              <w:rPr>
                <w:sz w:val="14"/>
              </w:rPr>
              <w:t>总计</w:t>
            </w: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结果维持</w:t>
            </w: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结果纠正</w:t>
            </w: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其他结果</w:t>
            </w:r>
          </w:p>
        </w:tc>
        <w:tc>
          <w:tcPr>
            <w:tcW w:w="741"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43" w:firstLine="0"/>
              <w:jc w:val="both"/>
            </w:pPr>
            <w:r>
              <w:rPr>
                <w:sz w:val="14"/>
              </w:rPr>
              <w:t>尚未审结</w:t>
            </w:r>
          </w:p>
        </w:tc>
        <w:tc>
          <w:tcPr>
            <w:tcW w:w="375" w:type="dxa"/>
            <w:tcBorders>
              <w:top w:val="single" w:sz="3" w:space="0" w:color="000000"/>
              <w:left w:val="single" w:sz="3" w:space="0" w:color="000000"/>
              <w:bottom w:val="single" w:sz="3" w:space="0" w:color="000000"/>
              <w:right w:val="single" w:sz="3" w:space="0" w:color="000000"/>
            </w:tcBorders>
          </w:tcPr>
          <w:p w:rsidR="004B4207" w:rsidRDefault="00AE401C">
            <w:pPr>
              <w:spacing w:after="0" w:line="259" w:lineRule="auto"/>
              <w:ind w:left="0" w:firstLine="0"/>
              <w:jc w:val="both"/>
            </w:pPr>
            <w:r>
              <w:rPr>
                <w:sz w:val="14"/>
              </w:rPr>
              <w:t>总计</w:t>
            </w:r>
          </w:p>
        </w:tc>
      </w:tr>
      <w:tr w:rsidR="004B4207">
        <w:trPr>
          <w:trHeight w:val="401"/>
        </w:trPr>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37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01" w:firstLine="0"/>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0"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37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01" w:firstLine="0"/>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741"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0" w:firstLine="0"/>
              <w:jc w:val="center"/>
            </w:pPr>
            <w:r>
              <w:rPr>
                <w:rFonts w:ascii="Arial" w:eastAsia="Arial" w:hAnsi="Arial" w:cs="Arial"/>
                <w:sz w:val="14"/>
              </w:rPr>
              <w:t>0</w:t>
            </w:r>
          </w:p>
        </w:tc>
        <w:tc>
          <w:tcPr>
            <w:tcW w:w="375" w:type="dxa"/>
            <w:tcBorders>
              <w:top w:val="single" w:sz="3" w:space="0" w:color="000000"/>
              <w:left w:val="single" w:sz="3" w:space="0" w:color="000000"/>
              <w:bottom w:val="single" w:sz="3" w:space="0" w:color="000000"/>
              <w:right w:val="single" w:sz="3" w:space="0" w:color="000000"/>
            </w:tcBorders>
            <w:vAlign w:val="center"/>
          </w:tcPr>
          <w:p w:rsidR="004B4207" w:rsidRDefault="00AE401C">
            <w:pPr>
              <w:spacing w:after="0" w:line="259" w:lineRule="auto"/>
              <w:ind w:left="101" w:firstLine="0"/>
            </w:pPr>
            <w:r>
              <w:rPr>
                <w:rFonts w:ascii="Arial" w:eastAsia="Arial" w:hAnsi="Arial" w:cs="Arial"/>
                <w:sz w:val="14"/>
              </w:rPr>
              <w:t>0</w:t>
            </w:r>
          </w:p>
        </w:tc>
      </w:tr>
    </w:tbl>
    <w:p w:rsidR="004B4207" w:rsidRDefault="00AE401C">
      <w:pPr>
        <w:pStyle w:val="2"/>
        <w:spacing w:after="190"/>
        <w:ind w:left="-5"/>
      </w:pPr>
      <w:r>
        <w:t>五、存在的主要问题及改进情况</w:t>
      </w:r>
    </w:p>
    <w:p w:rsidR="004B4207" w:rsidRDefault="00AE401C">
      <w:pPr>
        <w:numPr>
          <w:ilvl w:val="0"/>
          <w:numId w:val="2"/>
        </w:numPr>
      </w:pPr>
      <w:r>
        <w:t>存在的主要问题</w:t>
      </w:r>
      <w:r>
        <w:rPr>
          <w:rFonts w:ascii="Arial" w:eastAsia="Arial" w:hAnsi="Arial" w:cs="Arial"/>
        </w:rPr>
        <w:t xml:space="preserve">    </w:t>
      </w:r>
      <w:r>
        <w:t>自政府信息公开工作全面启动以来，我局政府信息公开工作取得了一定的进步</w:t>
      </w:r>
      <w:r>
        <w:rPr>
          <w:rFonts w:ascii="Arial" w:eastAsia="Arial" w:hAnsi="Arial" w:cs="Arial"/>
        </w:rPr>
        <w:t>,</w:t>
      </w:r>
      <w:r>
        <w:t>但从整体上看，在信息更新速度、公开的规范性等方面还存在一些不足：一是信息更新还不够及时，时效性有待进一步加强；二是公开的规范性还有待提高；三是工作人员政府信息公开工作水平有待提高。</w:t>
      </w:r>
    </w:p>
    <w:p w:rsidR="004B4207" w:rsidRDefault="00AE401C">
      <w:pPr>
        <w:numPr>
          <w:ilvl w:val="0"/>
          <w:numId w:val="2"/>
        </w:numPr>
      </w:pPr>
      <w:r>
        <w:t>改进措施</w:t>
      </w:r>
      <w:r>
        <w:rPr>
          <w:rFonts w:ascii="Arial" w:eastAsia="Arial" w:hAnsi="Arial" w:cs="Arial"/>
        </w:rPr>
        <w:t xml:space="preserve">    </w:t>
      </w:r>
      <w:r>
        <w:t>一是完善信息发布工作机制。信息公开工作落实到每个股室、二级机构，并安排专人负责采编。按照政府信息公开要求，结合工作实际，及时将人社机构职能、政策法规、工作动态和重大活动等信息进行公开，同时对原有的信息公开目录进行补充完善，保证公开信息的完整性和准确性。对于新出台的政策法规做到及时审核，及时公开。对确定的政府信息公</w:t>
      </w:r>
      <w:r>
        <w:t>开范围，及时发布和更新依法应主动公开的政府信息，确保涉及民生的信息及时公开。</w:t>
      </w:r>
    </w:p>
    <w:p w:rsidR="004B4207" w:rsidRDefault="00AE401C">
      <w:pPr>
        <w:ind w:left="446"/>
      </w:pPr>
      <w:r>
        <w:rPr>
          <w:rFonts w:ascii="Arial" w:eastAsia="Arial" w:hAnsi="Arial" w:cs="Arial"/>
        </w:rPr>
        <w:t xml:space="preserve">    </w:t>
      </w:r>
      <w:r>
        <w:t>二是进一步落实公开要求。引导各股室及二级机构认真落实政府信息公开相关要求，进一步规范公开内容，规范受理格式文本和程序。把政府信息公开工作纳入全局目标考核范围，着力构建多元化评价机制，将考核结果纳入依法行政考核范畴。</w:t>
      </w:r>
    </w:p>
    <w:p w:rsidR="004B4207" w:rsidRDefault="00AE401C">
      <w:pPr>
        <w:spacing w:after="489"/>
        <w:ind w:left="446"/>
      </w:pPr>
      <w:r>
        <w:rPr>
          <w:rFonts w:ascii="Arial" w:eastAsia="Arial" w:hAnsi="Arial" w:cs="Arial"/>
        </w:rPr>
        <w:t xml:space="preserve">    </w:t>
      </w:r>
      <w:r>
        <w:t>三是进一步提升工作人员政府信息公开工作水平。针对局属各单位人员调动和增加等实际情况，及时组织相关负责人员，通过业务学习会、工作互相评价、参加相关培训等形式，充分了解政府信息公开工作的内容、程序和技巧等知</w:t>
      </w:r>
      <w:r>
        <w:t>识，为各项政府信息的依规公开、及时公开创造更好条件。</w:t>
      </w:r>
    </w:p>
    <w:p w:rsidR="004B4207" w:rsidRDefault="00AE401C">
      <w:pPr>
        <w:pStyle w:val="2"/>
        <w:spacing w:after="188"/>
        <w:ind w:left="-5"/>
      </w:pPr>
      <w:r>
        <w:t>六、其他需要报告的事项</w:t>
      </w:r>
    </w:p>
    <w:p w:rsidR="004B4207" w:rsidRDefault="00AE401C">
      <w:pPr>
        <w:ind w:left="446"/>
      </w:pPr>
      <w:r>
        <w:t>无</w:t>
      </w:r>
    </w:p>
    <w:sectPr w:rsidR="004B4207">
      <w:headerReference w:type="even" r:id="rId7"/>
      <w:headerReference w:type="default" r:id="rId8"/>
      <w:footerReference w:type="even" r:id="rId9"/>
      <w:footerReference w:type="default" r:id="rId10"/>
      <w:headerReference w:type="first" r:id="rId11"/>
      <w:footerReference w:type="first" r:id="rId12"/>
      <w:pgSz w:w="12240" w:h="15840"/>
      <w:pgMar w:top="720" w:right="1233" w:bottom="744" w:left="760" w:header="720" w:footer="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401C">
      <w:pPr>
        <w:spacing w:after="0" w:line="240" w:lineRule="auto"/>
      </w:pPr>
      <w:r>
        <w:separator/>
      </w:r>
    </w:p>
  </w:endnote>
  <w:endnote w:type="continuationSeparator" w:id="0">
    <w:p w:rsidR="00000000" w:rsidRDefault="00AE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UI">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07" w:rsidRDefault="00AE401C">
    <w:pPr>
      <w:tabs>
        <w:tab w:val="right" w:pos="11480"/>
      </w:tabs>
      <w:spacing w:after="0" w:line="259" w:lineRule="auto"/>
      <w:ind w:left="-760" w:right="-1233" w:firstLine="0"/>
    </w:pPr>
    <w:r>
      <w:rPr>
        <w:rFonts w:ascii="宋体" w:eastAsia="宋体" w:hAnsi="宋体" w:cs="宋体"/>
        <w:sz w:val="20"/>
      </w:rPr>
      <w:t>第</w:t>
    </w:r>
    <w:r>
      <w:fldChar w:fldCharType="begin"/>
    </w:r>
    <w:r>
      <w:instrText xml:space="preserve"> PAGE   \* MERGEFORMAT </w:instrText>
    </w:r>
    <w:r>
      <w:fldChar w:fldCharType="separate"/>
    </w:r>
    <w:r>
      <w:rPr>
        <w:rFonts w:ascii="宋体" w:eastAsia="宋体" w:hAnsi="宋体" w:cs="宋体"/>
        <w:sz w:val="20"/>
      </w:rPr>
      <w:t>1</w:t>
    </w:r>
    <w:r>
      <w:rPr>
        <w:rFonts w:ascii="宋体" w:eastAsia="宋体" w:hAnsi="宋体" w:cs="宋体"/>
        <w:sz w:val="20"/>
      </w:rPr>
      <w:fldChar w:fldCharType="end"/>
    </w:r>
    <w:r>
      <w:rPr>
        <w:rFonts w:ascii="宋体" w:eastAsia="宋体" w:hAnsi="宋体" w:cs="宋体"/>
        <w:sz w:val="20"/>
      </w:rPr>
      <w:t>页</w:t>
    </w:r>
    <w:r>
      <w:rPr>
        <w:rFonts w:ascii="宋体" w:eastAsia="宋体" w:hAnsi="宋体" w:cs="宋体"/>
        <w:sz w:val="20"/>
      </w:rPr>
      <w:t xml:space="preserve"> </w:t>
    </w:r>
    <w:r>
      <w:rPr>
        <w:rFonts w:ascii="宋体" w:eastAsia="宋体" w:hAnsi="宋体" w:cs="宋体"/>
        <w:sz w:val="20"/>
      </w:rPr>
      <w:t>共</w:t>
    </w:r>
    <w:r>
      <w:fldChar w:fldCharType="begin"/>
    </w:r>
    <w:r>
      <w:instrText xml:space="preserve"> NUMPAGES   \* MERGEFORMAT </w:instrText>
    </w:r>
    <w:r>
      <w:fldChar w:fldCharType="separate"/>
    </w:r>
    <w:r>
      <w:rPr>
        <w:rFonts w:ascii="宋体" w:eastAsia="宋体" w:hAnsi="宋体" w:cs="宋体"/>
        <w:sz w:val="20"/>
      </w:rPr>
      <w:t>3</w:t>
    </w:r>
    <w:r>
      <w:rPr>
        <w:rFonts w:ascii="宋体" w:eastAsia="宋体" w:hAnsi="宋体" w:cs="宋体"/>
        <w:sz w:val="20"/>
      </w:rPr>
      <w:fldChar w:fldCharType="end"/>
    </w:r>
    <w:r>
      <w:rPr>
        <w:rFonts w:ascii="宋体" w:eastAsia="宋体" w:hAnsi="宋体" w:cs="宋体"/>
        <w:sz w:val="20"/>
      </w:rPr>
      <w:t>页</w:t>
    </w:r>
    <w:r>
      <w:rPr>
        <w:rFonts w:ascii="宋体" w:eastAsia="宋体" w:hAnsi="宋体" w:cs="宋体"/>
        <w:sz w:val="20"/>
      </w:rPr>
      <w:tab/>
      <w:t>2022.1.26 12:18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07" w:rsidRDefault="00AE401C">
    <w:pPr>
      <w:tabs>
        <w:tab w:val="right" w:pos="11480"/>
      </w:tabs>
      <w:spacing w:after="0" w:line="259" w:lineRule="auto"/>
      <w:ind w:left="-760" w:right="-1233" w:firstLine="0"/>
    </w:pPr>
    <w:r>
      <w:rPr>
        <w:rFonts w:ascii="宋体" w:eastAsia="宋体" w:hAnsi="宋体" w:cs="宋体"/>
        <w:sz w:val="20"/>
      </w:rPr>
      <w:t>第</w:t>
    </w:r>
    <w:r>
      <w:fldChar w:fldCharType="begin"/>
    </w:r>
    <w:r>
      <w:instrText xml:space="preserve"> PAGE   \* MERGEFORMAT </w:instrText>
    </w:r>
    <w:r>
      <w:fldChar w:fldCharType="separate"/>
    </w:r>
    <w:r w:rsidRPr="00AE401C">
      <w:rPr>
        <w:rFonts w:ascii="宋体" w:eastAsia="宋体" w:hAnsi="宋体" w:cs="宋体"/>
        <w:noProof/>
        <w:sz w:val="20"/>
      </w:rPr>
      <w:t>1</w:t>
    </w:r>
    <w:r>
      <w:rPr>
        <w:rFonts w:ascii="宋体" w:eastAsia="宋体" w:hAnsi="宋体" w:cs="宋体"/>
        <w:sz w:val="20"/>
      </w:rPr>
      <w:fldChar w:fldCharType="end"/>
    </w:r>
    <w:r>
      <w:rPr>
        <w:rFonts w:ascii="宋体" w:eastAsia="宋体" w:hAnsi="宋体" w:cs="宋体"/>
        <w:sz w:val="20"/>
      </w:rPr>
      <w:t>页</w:t>
    </w:r>
    <w:r>
      <w:rPr>
        <w:rFonts w:ascii="宋体" w:eastAsia="宋体" w:hAnsi="宋体" w:cs="宋体"/>
        <w:sz w:val="20"/>
      </w:rPr>
      <w:t xml:space="preserve"> </w:t>
    </w:r>
    <w:r>
      <w:rPr>
        <w:rFonts w:ascii="宋体" w:eastAsia="宋体" w:hAnsi="宋体" w:cs="宋体"/>
        <w:sz w:val="20"/>
      </w:rPr>
      <w:t>共</w:t>
    </w:r>
    <w:r>
      <w:fldChar w:fldCharType="begin"/>
    </w:r>
    <w:r>
      <w:instrText xml:space="preserve"> NUMPAGES   \* MERGEFORMAT </w:instrText>
    </w:r>
    <w:r>
      <w:fldChar w:fldCharType="separate"/>
    </w:r>
    <w:r w:rsidRPr="00AE401C">
      <w:rPr>
        <w:rFonts w:ascii="宋体" w:eastAsia="宋体" w:hAnsi="宋体" w:cs="宋体"/>
        <w:noProof/>
        <w:sz w:val="20"/>
      </w:rPr>
      <w:t>1</w:t>
    </w:r>
    <w:r>
      <w:rPr>
        <w:rFonts w:ascii="宋体" w:eastAsia="宋体" w:hAnsi="宋体" w:cs="宋体"/>
        <w:sz w:val="20"/>
      </w:rPr>
      <w:fldChar w:fldCharType="end"/>
    </w:r>
    <w:r>
      <w:rPr>
        <w:rFonts w:ascii="宋体" w:eastAsia="宋体" w:hAnsi="宋体" w:cs="宋体"/>
        <w:sz w:val="20"/>
      </w:rPr>
      <w:t>页</w:t>
    </w:r>
    <w:r>
      <w:rPr>
        <w:rFonts w:ascii="宋体" w:eastAsia="宋体" w:hAnsi="宋体" w:cs="宋体"/>
        <w:sz w:val="20"/>
      </w:rPr>
      <w:tab/>
      <w:t>2022.1.26 12:18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07" w:rsidRDefault="00AE401C">
    <w:pPr>
      <w:tabs>
        <w:tab w:val="right" w:pos="11480"/>
      </w:tabs>
      <w:spacing w:after="0" w:line="259" w:lineRule="auto"/>
      <w:ind w:left="-760" w:right="-1233" w:firstLine="0"/>
    </w:pPr>
    <w:r>
      <w:rPr>
        <w:rFonts w:ascii="宋体" w:eastAsia="宋体" w:hAnsi="宋体" w:cs="宋体"/>
        <w:sz w:val="20"/>
      </w:rPr>
      <w:t>第</w:t>
    </w:r>
    <w:r>
      <w:fldChar w:fldCharType="begin"/>
    </w:r>
    <w:r>
      <w:instrText xml:space="preserve"> PAGE   \* MERGEFOR</w:instrText>
    </w:r>
    <w:r>
      <w:instrText xml:space="preserve">MAT </w:instrText>
    </w:r>
    <w:r>
      <w:fldChar w:fldCharType="separate"/>
    </w:r>
    <w:r>
      <w:rPr>
        <w:rFonts w:ascii="宋体" w:eastAsia="宋体" w:hAnsi="宋体" w:cs="宋体"/>
        <w:sz w:val="20"/>
      </w:rPr>
      <w:t>1</w:t>
    </w:r>
    <w:r>
      <w:rPr>
        <w:rFonts w:ascii="宋体" w:eastAsia="宋体" w:hAnsi="宋体" w:cs="宋体"/>
        <w:sz w:val="20"/>
      </w:rPr>
      <w:fldChar w:fldCharType="end"/>
    </w:r>
    <w:r>
      <w:rPr>
        <w:rFonts w:ascii="宋体" w:eastAsia="宋体" w:hAnsi="宋体" w:cs="宋体"/>
        <w:sz w:val="20"/>
      </w:rPr>
      <w:t>页</w:t>
    </w:r>
    <w:r>
      <w:rPr>
        <w:rFonts w:ascii="宋体" w:eastAsia="宋体" w:hAnsi="宋体" w:cs="宋体"/>
        <w:sz w:val="20"/>
      </w:rPr>
      <w:t xml:space="preserve"> </w:t>
    </w:r>
    <w:r>
      <w:rPr>
        <w:rFonts w:ascii="宋体" w:eastAsia="宋体" w:hAnsi="宋体" w:cs="宋体"/>
        <w:sz w:val="20"/>
      </w:rPr>
      <w:t>共</w:t>
    </w:r>
    <w:r>
      <w:fldChar w:fldCharType="begin"/>
    </w:r>
    <w:r>
      <w:instrText xml:space="preserve"> NUMPAGES   \* MERGEFORMAT </w:instrText>
    </w:r>
    <w:r>
      <w:fldChar w:fldCharType="separate"/>
    </w:r>
    <w:r>
      <w:rPr>
        <w:rFonts w:ascii="宋体" w:eastAsia="宋体" w:hAnsi="宋体" w:cs="宋体"/>
        <w:sz w:val="20"/>
      </w:rPr>
      <w:t>3</w:t>
    </w:r>
    <w:r>
      <w:rPr>
        <w:rFonts w:ascii="宋体" w:eastAsia="宋体" w:hAnsi="宋体" w:cs="宋体"/>
        <w:sz w:val="20"/>
      </w:rPr>
      <w:fldChar w:fldCharType="end"/>
    </w:r>
    <w:r>
      <w:rPr>
        <w:rFonts w:ascii="宋体" w:eastAsia="宋体" w:hAnsi="宋体" w:cs="宋体"/>
        <w:sz w:val="20"/>
      </w:rPr>
      <w:t>页</w:t>
    </w:r>
    <w:r>
      <w:rPr>
        <w:rFonts w:ascii="宋体" w:eastAsia="宋体" w:hAnsi="宋体" w:cs="宋体"/>
        <w:sz w:val="20"/>
      </w:rPr>
      <w:tab/>
      <w:t>2022.1.26 12:18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401C">
      <w:pPr>
        <w:spacing w:after="0" w:line="240" w:lineRule="auto"/>
      </w:pPr>
      <w:r>
        <w:separator/>
      </w:r>
    </w:p>
  </w:footnote>
  <w:footnote w:type="continuationSeparator" w:id="0">
    <w:p w:rsidR="00000000" w:rsidRDefault="00AE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07" w:rsidRDefault="00AE401C">
    <w:pPr>
      <w:tabs>
        <w:tab w:val="right" w:pos="11480"/>
      </w:tabs>
      <w:spacing w:after="0" w:line="259" w:lineRule="auto"/>
      <w:ind w:left="-760" w:right="-1233" w:firstLine="0"/>
    </w:pPr>
    <w:r>
      <w:rPr>
        <w:rFonts w:ascii="宋体" w:eastAsia="宋体" w:hAnsi="宋体" w:cs="宋体"/>
        <w:sz w:val="20"/>
      </w:rPr>
      <w:t>人社局</w:t>
    </w:r>
    <w:r>
      <w:rPr>
        <w:rFonts w:ascii="宋体" w:eastAsia="宋体" w:hAnsi="宋体" w:cs="宋体"/>
        <w:sz w:val="20"/>
      </w:rPr>
      <w:t>2021</w:t>
    </w:r>
    <w:r>
      <w:rPr>
        <w:rFonts w:ascii="宋体" w:eastAsia="宋体" w:hAnsi="宋体" w:cs="宋体"/>
        <w:sz w:val="20"/>
      </w:rPr>
      <w:t>年政府信息公开工作年度报告</w:t>
    </w:r>
    <w:r>
      <w:rPr>
        <w:rFonts w:ascii="宋体" w:eastAsia="宋体" w:hAnsi="宋体" w:cs="宋体"/>
        <w:sz w:val="20"/>
      </w:rPr>
      <w:tab/>
      <w:t>https://nb.henan.gov.cn/zw/public-report/view/19020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07" w:rsidRDefault="00AE401C">
    <w:pPr>
      <w:tabs>
        <w:tab w:val="right" w:pos="11480"/>
      </w:tabs>
      <w:spacing w:after="0" w:line="259" w:lineRule="auto"/>
      <w:ind w:left="-760" w:right="-1233" w:firstLine="0"/>
    </w:pPr>
    <w:r>
      <w:rPr>
        <w:rFonts w:ascii="宋体" w:eastAsia="宋体" w:hAnsi="宋体" w:cs="宋体"/>
        <w:sz w:val="20"/>
      </w:rPr>
      <w:t>人社局</w:t>
    </w:r>
    <w:r>
      <w:rPr>
        <w:rFonts w:ascii="宋体" w:eastAsia="宋体" w:hAnsi="宋体" w:cs="宋体"/>
        <w:sz w:val="20"/>
      </w:rPr>
      <w:t>2021</w:t>
    </w:r>
    <w:r>
      <w:rPr>
        <w:rFonts w:ascii="宋体" w:eastAsia="宋体" w:hAnsi="宋体" w:cs="宋体"/>
        <w:sz w:val="20"/>
      </w:rPr>
      <w:t>年政府信息公开工作年度报告</w:t>
    </w:r>
    <w:r>
      <w:rPr>
        <w:rFonts w:ascii="宋体" w:eastAsia="宋体" w:hAnsi="宋体" w:cs="宋体"/>
        <w:sz w:val="20"/>
      </w:rPr>
      <w:tab/>
      <w:t>https://nb.henan.gov.cn/zw/public-report/view/19020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07" w:rsidRDefault="00AE401C">
    <w:pPr>
      <w:tabs>
        <w:tab w:val="right" w:pos="11480"/>
      </w:tabs>
      <w:spacing w:after="0" w:line="259" w:lineRule="auto"/>
      <w:ind w:left="-760" w:right="-1233" w:firstLine="0"/>
    </w:pPr>
    <w:r>
      <w:rPr>
        <w:rFonts w:ascii="宋体" w:eastAsia="宋体" w:hAnsi="宋体" w:cs="宋体"/>
        <w:sz w:val="20"/>
      </w:rPr>
      <w:t>人社局</w:t>
    </w:r>
    <w:r>
      <w:rPr>
        <w:rFonts w:ascii="宋体" w:eastAsia="宋体" w:hAnsi="宋体" w:cs="宋体"/>
        <w:sz w:val="20"/>
      </w:rPr>
      <w:t>2021</w:t>
    </w:r>
    <w:r>
      <w:rPr>
        <w:rFonts w:ascii="宋体" w:eastAsia="宋体" w:hAnsi="宋体" w:cs="宋体"/>
        <w:sz w:val="20"/>
      </w:rPr>
      <w:t>年政府信息公开工作年度报告</w:t>
    </w:r>
    <w:r>
      <w:rPr>
        <w:rFonts w:ascii="宋体" w:eastAsia="宋体" w:hAnsi="宋体" w:cs="宋体"/>
        <w:sz w:val="20"/>
      </w:rPr>
      <w:tab/>
      <w:t>https://nb.henan.gov.cn/zw/public-report/view/19020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2FD"/>
    <w:multiLevelType w:val="hybridMultilevel"/>
    <w:tmpl w:val="6D060380"/>
    <w:lvl w:ilvl="0" w:tplc="88CC8880">
      <w:start w:val="1"/>
      <w:numFmt w:val="ideographDigital"/>
      <w:lvlText w:val="（%1）"/>
      <w:lvlJc w:val="left"/>
      <w:pPr>
        <w:ind w:left="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6746C3C">
      <w:start w:val="1"/>
      <w:numFmt w:val="lowerLetter"/>
      <w:lvlText w:val="%2"/>
      <w:lvlJc w:val="left"/>
      <w:pPr>
        <w:ind w:left="16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3BEDF10">
      <w:start w:val="1"/>
      <w:numFmt w:val="lowerRoman"/>
      <w:lvlText w:val="%3"/>
      <w:lvlJc w:val="left"/>
      <w:pPr>
        <w:ind w:left="23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394B2AA">
      <w:start w:val="1"/>
      <w:numFmt w:val="decimal"/>
      <w:lvlText w:val="%4"/>
      <w:lvlJc w:val="left"/>
      <w:pPr>
        <w:ind w:left="31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1205F4">
      <w:start w:val="1"/>
      <w:numFmt w:val="lowerLetter"/>
      <w:lvlText w:val="%5"/>
      <w:lvlJc w:val="left"/>
      <w:pPr>
        <w:ind w:left="38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368119E">
      <w:start w:val="1"/>
      <w:numFmt w:val="lowerRoman"/>
      <w:lvlText w:val="%6"/>
      <w:lvlJc w:val="left"/>
      <w:pPr>
        <w:ind w:left="45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FD26DAA">
      <w:start w:val="1"/>
      <w:numFmt w:val="decimal"/>
      <w:lvlText w:val="%7"/>
      <w:lvlJc w:val="left"/>
      <w:pPr>
        <w:ind w:left="52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D5C3B02">
      <w:start w:val="1"/>
      <w:numFmt w:val="lowerLetter"/>
      <w:lvlText w:val="%8"/>
      <w:lvlJc w:val="left"/>
      <w:pPr>
        <w:ind w:left="59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A5A2B3C">
      <w:start w:val="1"/>
      <w:numFmt w:val="lowerRoman"/>
      <w:lvlText w:val="%9"/>
      <w:lvlJc w:val="left"/>
      <w:pPr>
        <w:ind w:left="67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0A06DA0"/>
    <w:multiLevelType w:val="hybridMultilevel"/>
    <w:tmpl w:val="BD5CF52E"/>
    <w:lvl w:ilvl="0" w:tplc="B1C67D88">
      <w:start w:val="1"/>
      <w:numFmt w:val="ideographDigital"/>
      <w:lvlText w:val="（%1）"/>
      <w:lvlJc w:val="left"/>
      <w:pPr>
        <w:ind w:left="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FC69856">
      <w:start w:val="1"/>
      <w:numFmt w:val="lowerLetter"/>
      <w:lvlText w:val="%2"/>
      <w:lvlJc w:val="left"/>
      <w:pPr>
        <w:ind w:left="17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4D28684">
      <w:start w:val="1"/>
      <w:numFmt w:val="lowerRoman"/>
      <w:lvlText w:val="%3"/>
      <w:lvlJc w:val="left"/>
      <w:pPr>
        <w:ind w:left="24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E08B5D0">
      <w:start w:val="1"/>
      <w:numFmt w:val="decimal"/>
      <w:lvlText w:val="%4"/>
      <w:lvlJc w:val="left"/>
      <w:pPr>
        <w:ind w:left="3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FDCE146">
      <w:start w:val="1"/>
      <w:numFmt w:val="lowerLetter"/>
      <w:lvlText w:val="%5"/>
      <w:lvlJc w:val="left"/>
      <w:pPr>
        <w:ind w:left="38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17EEEE0">
      <w:start w:val="1"/>
      <w:numFmt w:val="lowerRoman"/>
      <w:lvlText w:val="%6"/>
      <w:lvlJc w:val="left"/>
      <w:pPr>
        <w:ind w:left="45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5D8913C">
      <w:start w:val="1"/>
      <w:numFmt w:val="decimal"/>
      <w:lvlText w:val="%7"/>
      <w:lvlJc w:val="left"/>
      <w:pPr>
        <w:ind w:left="53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2F67CD8">
      <w:start w:val="1"/>
      <w:numFmt w:val="lowerLetter"/>
      <w:lvlText w:val="%8"/>
      <w:lvlJc w:val="left"/>
      <w:pPr>
        <w:ind w:left="60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A18A8D6">
      <w:start w:val="1"/>
      <w:numFmt w:val="lowerRoman"/>
      <w:lvlText w:val="%9"/>
      <w:lvlJc w:val="left"/>
      <w:pPr>
        <w:ind w:left="67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07"/>
    <w:rsid w:val="004B4207"/>
    <w:rsid w:val="00AE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810C5-D590-4864-B4C3-6B8FCFF3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31" w:lineRule="auto"/>
      <w:ind w:left="461" w:hanging="10"/>
    </w:pPr>
    <w:rPr>
      <w:rFonts w:ascii="Microsoft YaHei UI" w:eastAsia="Microsoft YaHei UI" w:hAnsi="Microsoft YaHei UI" w:cs="Microsoft YaHei UI"/>
      <w:color w:val="000000"/>
      <w:sz w:val="16"/>
    </w:rPr>
  </w:style>
  <w:style w:type="paragraph" w:styleId="1">
    <w:name w:val="heading 1"/>
    <w:next w:val="a"/>
    <w:link w:val="10"/>
    <w:uiPriority w:val="9"/>
    <w:unhideWhenUsed/>
    <w:qFormat/>
    <w:pPr>
      <w:keepNext/>
      <w:keepLines/>
      <w:spacing w:line="259" w:lineRule="auto"/>
      <w:ind w:left="451"/>
      <w:outlineLvl w:val="0"/>
    </w:pPr>
    <w:rPr>
      <w:rFonts w:ascii="Microsoft YaHei UI" w:eastAsia="Microsoft YaHei UI" w:hAnsi="Microsoft YaHei UI" w:cs="Microsoft YaHei UI"/>
      <w:color w:val="000000"/>
      <w:sz w:val="24"/>
    </w:rPr>
  </w:style>
  <w:style w:type="paragraph" w:styleId="2">
    <w:name w:val="heading 2"/>
    <w:next w:val="a"/>
    <w:link w:val="20"/>
    <w:uiPriority w:val="9"/>
    <w:unhideWhenUsed/>
    <w:qFormat/>
    <w:pPr>
      <w:keepNext/>
      <w:keepLines/>
      <w:spacing w:line="259" w:lineRule="auto"/>
      <w:ind w:left="10" w:hanging="10"/>
      <w:outlineLvl w:val="1"/>
    </w:pPr>
    <w:rPr>
      <w:rFonts w:ascii="Microsoft YaHei UI" w:eastAsia="Microsoft YaHei UI" w:hAnsi="Microsoft YaHei UI" w:cs="Microsoft YaHei UI"/>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Microsoft YaHei UI" w:eastAsia="Microsoft YaHei UI" w:hAnsi="Microsoft YaHei UI" w:cs="Microsoft YaHei UI"/>
      <w:b/>
      <w:color w:val="000000"/>
      <w:sz w:val="16"/>
    </w:rPr>
  </w:style>
  <w:style w:type="character" w:customStyle="1" w:styleId="10">
    <w:name w:val="标题 1 字符"/>
    <w:link w:val="1"/>
    <w:rPr>
      <w:rFonts w:ascii="Microsoft YaHei UI" w:eastAsia="Microsoft YaHei UI" w:hAnsi="Microsoft YaHei UI" w:cs="Microsoft YaHei UI"/>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4</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user1</cp:lastModifiedBy>
  <cp:revision>2</cp:revision>
  <dcterms:created xsi:type="dcterms:W3CDTF">2022-01-26T05:04:00Z</dcterms:created>
  <dcterms:modified xsi:type="dcterms:W3CDTF">2022-01-26T05:04:00Z</dcterms:modified>
</cp:coreProperties>
</file>