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bdr w:val="none" w:color="auto" w:sz="0" w:space="0"/>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信访局2021年政府信息公开工作年度报告</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bdr w:val="none" w:color="auto" w:sz="0" w:space="0"/>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根据《中华人民共和国政府信息公开条例》有关规定，现公布信阳市浉河区信访局2021年政府信息公开工作年度报告。报告中所列数据统计期限为2021年1月1日至2021年12月31日。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2021年，信阳市浉河区信访局认真学习贯彻习近平新时代中国特色社会主义思想和党的十九届六中全会精神，紧紧围绕全区大局，坚持以人民为中心，认真贯彻执行新修订的《中华人民共和国政府信息公开条例》和国务院办公厅《2021年政府信息公开工作要点》有关要求，加大政府信息主动公开工作力度，推进信访工作更加阳光透明，有效保障了群众知情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2" w:firstLineChars="200"/>
        <w:textAlignment w:val="auto"/>
        <w:rPr>
          <w:rFonts w:hint="eastAsia" w:ascii="宋体" w:hAnsi="宋体" w:eastAsia="宋体" w:cs="宋体"/>
          <w:sz w:val="21"/>
          <w:szCs w:val="21"/>
        </w:rPr>
      </w:pPr>
      <w:r>
        <w:rPr>
          <w:rStyle w:val="7"/>
          <w:rFonts w:hint="eastAsia" w:ascii="宋体" w:hAnsi="宋体" w:eastAsia="宋体" w:cs="宋体"/>
          <w:i w:val="0"/>
          <w:iCs w:val="0"/>
          <w:caps w:val="0"/>
          <w:color w:val="000000"/>
          <w:spacing w:val="0"/>
          <w:sz w:val="21"/>
          <w:szCs w:val="21"/>
          <w:bdr w:val="none" w:color="auto" w:sz="0" w:space="0"/>
        </w:rPr>
        <w:t>(一)加强组织领导，加大公开力度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我局坚持“公开是常态、不公开是例外”原则，建立政府信息公开长效机制，成立了由主要领导为组长，分管领导为副组长，各相关股室负责人为成员的局政府信息公开工作领导小组，领导小组下设办公室，具体负责政府信息公开日常工作；加强政府信息公开工作的组织领导，强化政府信息公开工作力度，并在局长办公会上专题听取政府信息公开工作汇报；认真学习新修订的《中华人民共和国政府信息公开条例》，分析研究工作，分解任务，统筹推进，依法主动推进决策、执行、管理、服务、结果“五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2" w:firstLineChars="200"/>
        <w:textAlignment w:val="auto"/>
        <w:rPr>
          <w:rFonts w:hint="eastAsia" w:ascii="宋体" w:hAnsi="宋体" w:eastAsia="宋体" w:cs="宋体"/>
          <w:sz w:val="21"/>
          <w:szCs w:val="21"/>
        </w:rPr>
      </w:pPr>
      <w:r>
        <w:rPr>
          <w:rStyle w:val="7"/>
          <w:rFonts w:hint="eastAsia" w:ascii="宋体" w:hAnsi="宋体" w:eastAsia="宋体" w:cs="宋体"/>
          <w:i w:val="0"/>
          <w:iCs w:val="0"/>
          <w:caps w:val="0"/>
          <w:color w:val="000000"/>
          <w:spacing w:val="0"/>
          <w:sz w:val="21"/>
          <w:szCs w:val="21"/>
          <w:bdr w:val="none" w:color="auto" w:sz="0" w:space="0"/>
        </w:rPr>
        <w:t>（二）建立工作机制，规范公开流程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firstLineChars="200"/>
        <w:textAlignment w:val="auto"/>
        <w:rPr>
          <w:rFonts w:hint="eastAsia" w:ascii="宋体" w:hAnsi="宋体" w:eastAsia="宋体" w:cs="宋体"/>
          <w:i w:val="0"/>
          <w:iCs w:val="0"/>
          <w:caps w:val="0"/>
          <w:color w:val="000000"/>
          <w:spacing w:val="0"/>
          <w:sz w:val="21"/>
          <w:szCs w:val="21"/>
          <w:bdr w:val="none" w:color="auto" w:sz="0" w:space="0"/>
        </w:rPr>
      </w:pPr>
      <w:r>
        <w:rPr>
          <w:rFonts w:hint="eastAsia" w:ascii="宋体" w:hAnsi="宋体" w:eastAsia="宋体" w:cs="宋体"/>
          <w:i w:val="0"/>
          <w:iCs w:val="0"/>
          <w:caps w:val="0"/>
          <w:color w:val="000000"/>
          <w:spacing w:val="0"/>
          <w:sz w:val="21"/>
          <w:szCs w:val="21"/>
          <w:bdr w:val="none" w:color="auto" w:sz="0" w:space="0"/>
        </w:rPr>
        <w:t>按照信息公开保密审查机制和政府信息源头管理机制（主动公开、依申请公开等机制），认真履行公开职责，严格开展信息保密审查及内容审查，建立健全预先审查和预先公开制度，把能否公开、怎样公开、在什么范围公开等作为必须审核内容，认真履行政府信息公开审批程序，由承办处室提出意见、政府信息公开领导小组办公室审核、局领导审批后再行公开。重点在内容表述、公开时间、公开方式上严格把关，依法保障公众知情权。建立定期有序发布机制，并利用政府信息公开网等平台，发布机构班子成员及领导分工、信访工作动态，宣讲信访政策法规，保障群众知情权，全面推进阳光信访高质量发展。建立政府信息公开咨询、投诉和监督等工作制度。向社会及时公布咨询、监督投诉电话和电子邮箱，主动接受社会监督，推进政府信息公开工作。</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2" w:firstLineChars="200"/>
        <w:textAlignment w:val="auto"/>
        <w:rPr>
          <w:rStyle w:val="7"/>
          <w:rFonts w:hint="eastAsia" w:ascii="宋体" w:hAnsi="宋体" w:eastAsia="宋体" w:cs="宋体"/>
          <w:i w:val="0"/>
          <w:iCs w:val="0"/>
          <w:caps w:val="0"/>
          <w:color w:val="000000"/>
          <w:spacing w:val="0"/>
          <w:sz w:val="21"/>
          <w:szCs w:val="21"/>
          <w:bdr w:val="none" w:color="auto" w:sz="0" w:space="0"/>
        </w:rPr>
      </w:pPr>
      <w:r>
        <w:rPr>
          <w:rStyle w:val="7"/>
          <w:rFonts w:hint="eastAsia" w:ascii="宋体" w:hAnsi="宋体" w:eastAsia="宋体" w:cs="宋体"/>
          <w:i w:val="0"/>
          <w:iCs w:val="0"/>
          <w:caps w:val="0"/>
          <w:color w:val="000000"/>
          <w:spacing w:val="0"/>
          <w:sz w:val="21"/>
          <w:szCs w:val="21"/>
          <w:bdr w:val="none" w:color="auto" w:sz="0" w:space="0"/>
        </w:rPr>
        <w:t>创新平台载体，强化监督保障</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为更好地开展主动公开工作，我局加强网络平台建设，进一步扩大重要政府信息发布范围。通过多媒体平台，运用图片、视频等方式，全方位、多角度地展示信访工作及取得的新成绩新亮点，更多的让群众了解信访业务流程，熟悉信访工作内容，进一步提升信访工作透明度。特别是群众关心关注的党政领导接访日程还通过主流报刊、电视等新闻媒体公开。在机制保障方面，不断加强政府信息公开人才队伍建设，积极参加各项业务培训、信访工作督查等，定期梳理制度文件，提出主动公开意见，做到应公开尽公开。通过群众监督倒逼责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480" w:firstLineChars="200"/>
        <w:textAlignment w:val="auto"/>
        <w:rPr>
          <w:rFonts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rPr>
        <w:t>二、主动公开政府信息情况</w:t>
      </w:r>
    </w:p>
    <w:tbl>
      <w:tblPr>
        <w:tblW w:w="1500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85"/>
        <w:gridCol w:w="3704"/>
        <w:gridCol w:w="3707"/>
        <w:gridCol w:w="3704"/>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第二十条第（一）项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信息内容</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本年制发件数</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本年废止件数</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现行有效件数</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规章</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行政规范性文件</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第二十条第（五）项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信息内容</w:t>
            </w:r>
          </w:p>
        </w:tc>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本年处理决定数量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行政许可</w:t>
            </w:r>
          </w:p>
        </w:tc>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第二十条第（六）项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信息内容</w:t>
            </w:r>
          </w:p>
        </w:tc>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本年处理决定数量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行政处罚</w:t>
            </w:r>
          </w:p>
        </w:tc>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行政强制</w:t>
            </w:r>
          </w:p>
        </w:tc>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第二十条第（八）项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信息内容</w:t>
            </w:r>
          </w:p>
        </w:tc>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本年收费金额（单位：万元，保留4位小数）</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行政事业性收费</w:t>
            </w:r>
          </w:p>
        </w:tc>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480" w:firstLineChars="200"/>
        <w:textAlignment w:val="auto"/>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rPr>
        <w:t>三、收到和处理政府信息公开申请情况</w:t>
      </w:r>
    </w:p>
    <w:tbl>
      <w:tblPr>
        <w:tblW w:w="1500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50"/>
        <w:gridCol w:w="1287"/>
        <w:gridCol w:w="5862"/>
        <w:gridCol w:w="900"/>
        <w:gridCol w:w="900"/>
        <w:gridCol w:w="900"/>
        <w:gridCol w:w="900"/>
        <w:gridCol w:w="900"/>
        <w:gridCol w:w="900"/>
        <w:gridCol w:w="901"/>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gridSpan w:val="3"/>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（本列数据的勾稽关系为：第一项加第二项之和，等于第三项加第四项之和）</w:t>
            </w:r>
          </w:p>
        </w:tc>
        <w:tc>
          <w:tcPr>
            <w:tcW w:w="0" w:type="auto"/>
            <w:gridSpan w:val="7"/>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申请人情况</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gridSpan w:val="3"/>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自然人</w:t>
            </w:r>
          </w:p>
        </w:tc>
        <w:tc>
          <w:tcPr>
            <w:tcW w:w="0" w:type="auto"/>
            <w:gridSpan w:val="5"/>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法人或其他组织</w:t>
            </w: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总计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gridSpan w:val="3"/>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商业企业</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科研机构</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社会公益组织</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法律服务机构</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其他</w:t>
            </w: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一、本年新收政府信息公开申请数量</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二、上年结转政府信息公开申请数量</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三、本年度办理结果</w:t>
            </w:r>
          </w:p>
        </w:tc>
        <w:tc>
          <w:tcPr>
            <w:tcW w:w="0" w:type="auto"/>
            <w:gridSpan w:val="2"/>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（一）予以公开</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gridSpan w:val="2"/>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（二）部分公开（区分处理的，只计这一情形，不计其他情形）</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（三）不予公开</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1.属于国家秘密</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2.其他法律行政法规禁止公开</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3.危及“三安全一稳定”</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4.保护第三方合法权益</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5.属于三类内部事务信息</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6.属于四类过程性信息</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7.属于行政执法案卷</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8.属于行政查询事项</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（四）无法提供</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1.本机关不掌握相关政府信息</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2.没有现成信息需要另行制作</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3.补正后申请内容仍不明确</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（五）不予处理</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1.信访举报投诉类申请</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2.重复申请</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3.要求提供公开出版物</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4.无正当理由大量反复申请</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5.要求行政机关确认或重新出具已获取信息</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（六）其他处理</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1.申请人无正当理由逾期不补正、行政机关不再处理其政府信息公开申请</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2.申请人逾期未按收费通知要求缴纳费用、行政机关不再处理其政府信息公开申请</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3.其他</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gridSpan w:val="2"/>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（七）总计</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3"/>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四、结转下年度继续办理</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900" w:type="dxa"/>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480" w:firstLineChars="200"/>
        <w:textAlignment w:val="auto"/>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rPr>
        <w:t>四、政府信息公开行政复议、行政诉讼情况</w:t>
      </w:r>
    </w:p>
    <w:tbl>
      <w:tblPr>
        <w:tblW w:w="1500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8"/>
        <w:gridCol w:w="1109"/>
        <w:gridCol w:w="1109"/>
        <w:gridCol w:w="1109"/>
        <w:gridCol w:w="565"/>
        <w:gridCol w:w="1110"/>
        <w:gridCol w:w="1110"/>
        <w:gridCol w:w="1110"/>
        <w:gridCol w:w="1110"/>
        <w:gridCol w:w="565"/>
        <w:gridCol w:w="1110"/>
        <w:gridCol w:w="1110"/>
        <w:gridCol w:w="1110"/>
        <w:gridCol w:w="1110"/>
        <w:gridCol w:w="565"/>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gridSpan w:val="5"/>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行政复议</w:t>
            </w:r>
          </w:p>
        </w:tc>
        <w:tc>
          <w:tcPr>
            <w:tcW w:w="0" w:type="auto"/>
            <w:gridSpan w:val="10"/>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行政诉讼</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结果维持</w:t>
            </w: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结果纠正</w:t>
            </w: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其他结果</w:t>
            </w: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尚未审结</w:t>
            </w:r>
          </w:p>
        </w:tc>
        <w:tc>
          <w:tcPr>
            <w:tcW w:w="0" w:type="auto"/>
            <w:vMerge w:val="restart"/>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总计</w:t>
            </w:r>
          </w:p>
        </w:tc>
        <w:tc>
          <w:tcPr>
            <w:tcW w:w="0" w:type="auto"/>
            <w:gridSpan w:val="5"/>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未经复议直接起诉</w:t>
            </w:r>
          </w:p>
        </w:tc>
        <w:tc>
          <w:tcPr>
            <w:tcW w:w="0" w:type="auto"/>
            <w:gridSpan w:val="5"/>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复议后起诉</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结果维持</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结果纠正</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其他结果</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尚未审结</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总计</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结果维持</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结果纠正</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其他结果</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尚未审结</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总计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c>
          <w:tcPr>
            <w:tcW w:w="0" w:type="auto"/>
            <w:tcBorders>
              <w:top w:val="nil"/>
              <w:left w:val="nil"/>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bdr w:val="none" w:color="auto" w:sz="0" w:space="0"/>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80" w:lineRule="exact"/>
        <w:ind w:left="0" w:right="0" w:firstLine="0"/>
        <w:textAlignment w:val="auto"/>
        <w:rPr>
          <w:rFonts w:hint="default" w:ascii="Helvetica" w:hAnsi="Helvetica" w:eastAsia="Helvetica" w:cs="Helvetica"/>
          <w:b/>
          <w:bCs/>
          <w:i w:val="0"/>
          <w:iCs w:val="0"/>
          <w:caps w:val="0"/>
          <w:color w:val="000000"/>
          <w:spacing w:val="0"/>
          <w:sz w:val="24"/>
          <w:szCs w:val="24"/>
          <w:bdr w:val="none" w:color="auto" w:sz="0" w:space="0"/>
        </w:rPr>
        <w:sectPr>
          <w:pgSz w:w="16838" w:h="11906" w:orient="landscape"/>
          <w:pgMar w:top="1800" w:right="1440" w:bottom="1800" w:left="1440" w:header="851" w:footer="992" w:gutter="0"/>
          <w:cols w:space="425"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2" w:firstLineChars="200"/>
        <w:textAlignment w:val="auto"/>
        <w:rPr>
          <w:rFonts w:hint="eastAsia" w:ascii="宋体" w:hAnsi="宋体" w:eastAsia="宋体" w:cs="宋体"/>
          <w:b/>
          <w:bCs/>
          <w:i w:val="0"/>
          <w:iCs w:val="0"/>
          <w:caps w:val="0"/>
          <w:color w:val="000000"/>
          <w:spacing w:val="0"/>
          <w:sz w:val="21"/>
          <w:szCs w:val="21"/>
        </w:rPr>
      </w:pPr>
      <w:bookmarkStart w:id="0" w:name="_GoBack"/>
      <w:bookmarkEnd w:id="0"/>
      <w:r>
        <w:rPr>
          <w:rFonts w:hint="eastAsia" w:ascii="宋体" w:hAnsi="宋体" w:eastAsia="宋体" w:cs="宋体"/>
          <w:b/>
          <w:bCs/>
          <w:i w:val="0"/>
          <w:iCs w:val="0"/>
          <w:caps w:val="0"/>
          <w:color w:val="000000"/>
          <w:spacing w:val="0"/>
          <w:sz w:val="21"/>
          <w:szCs w:val="21"/>
          <w:bdr w:val="none" w:color="auto" w:sz="0" w:space="0"/>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一是强化政府信息公开工作决策部署。统筹谋划年度重点工作安排，定期公布政府信息公开年度报告，保证信息公开内容的及时性、准确性和完整性。将信息公开工作纳入年度目标考核内容，全程把控。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二是健全完善政府信息公开体系。针对制度不够健全的问题，加强《中华人民共和国政府信息公开条例》等政策法规学习，强化政府信息公开工作培训，提升工作人员技能，落实好政府信息公开工作各项制度，努力提升政府信息公开质量和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三是结合实际创新政府信息公开工作。对标对表国家治理体系和治理能力现代化，全面贯彻落实《政府信息公开条例》和2021年政府信息公开工作要点，进一步规范和完善主动公开内容，进一步优化公开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2" w:firstLineChars="200"/>
        <w:textAlignment w:val="auto"/>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t>无。</w:t>
      </w:r>
    </w:p>
    <w:p>
      <w:pPr>
        <w:keepNext w:val="0"/>
        <w:keepLines w:val="0"/>
        <w:pageBreakBefore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D27ED"/>
    <w:multiLevelType w:val="singleLevel"/>
    <w:tmpl w:val="00AD27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70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Administrator.User-2018UOQNBI</dc:creator>
  <cp:lastModifiedBy>美西</cp:lastModifiedBy>
  <dcterms:modified xsi:type="dcterms:W3CDTF">2022-01-24T07:48:40Z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0BA2E7E33CF74CF7A61450973CE791B3</vt:lpwstr>
  </property>
</Properties>
</file>