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中共信阳市浉河区委党校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2020年度部门预算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公开</w:t>
      </w:r>
      <w:r>
        <w:rPr>
          <w:rFonts w:hint="eastAsia" w:ascii="仿宋" w:hAnsi="仿宋" w:eastAsia="仿宋"/>
          <w:b/>
          <w:sz w:val="44"/>
          <w:szCs w:val="44"/>
        </w:rPr>
        <w:t>情况说明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目   录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第</w:t>
      </w:r>
      <w:r>
        <w:rPr>
          <w:rFonts w:hint="eastAsia" w:ascii="仿宋" w:hAnsi="仿宋" w:eastAsia="仿宋"/>
          <w:b/>
          <w:sz w:val="36"/>
          <w:szCs w:val="36"/>
        </w:rPr>
        <w:t>一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部分、</w:t>
      </w:r>
      <w:r>
        <w:rPr>
          <w:rFonts w:hint="eastAsia" w:ascii="仿宋" w:hAnsi="仿宋" w:eastAsia="仿宋"/>
          <w:b/>
          <w:sz w:val="36"/>
          <w:szCs w:val="36"/>
        </w:rPr>
        <w:t>部门基本情况</w:t>
      </w:r>
    </w:p>
    <w:p>
      <w:pPr>
        <w:adjustRightInd w:val="0"/>
        <w:snapToGrid w:val="0"/>
        <w:spacing w:line="360" w:lineRule="auto"/>
        <w:ind w:firstLine="723" w:firstLineChars="2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1、部门机构设置、主要职能</w:t>
      </w:r>
    </w:p>
    <w:p>
      <w:pPr>
        <w:adjustRightInd w:val="0"/>
        <w:snapToGrid w:val="0"/>
        <w:spacing w:line="360" w:lineRule="auto"/>
        <w:ind w:firstLine="723" w:firstLineChars="2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2、人员构成情况</w:t>
      </w:r>
    </w:p>
    <w:p>
      <w:pPr>
        <w:adjustRightInd w:val="0"/>
        <w:snapToGrid w:val="0"/>
        <w:spacing w:line="360" w:lineRule="auto"/>
        <w:ind w:firstLine="723" w:firstLineChars="2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3、预算年度主要工作任务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第二部分、2020年度部门</w:t>
      </w:r>
      <w:r>
        <w:rPr>
          <w:rFonts w:hint="eastAsia" w:ascii="仿宋" w:hAnsi="仿宋" w:eastAsia="仿宋"/>
          <w:b/>
          <w:sz w:val="36"/>
          <w:szCs w:val="36"/>
        </w:rPr>
        <w:t>预算情况说明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专业性较强的名词进行解释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附   件、2020年度部门预算公开表</w:t>
      </w:r>
    </w:p>
    <w:p>
      <w:pPr>
        <w:adjustRightInd w:val="0"/>
        <w:snapToGrid w:val="0"/>
        <w:spacing w:line="360" w:lineRule="auto"/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1、部门收支总体情况表</w:t>
      </w:r>
    </w:p>
    <w:p>
      <w:pPr>
        <w:adjustRightInd w:val="0"/>
        <w:snapToGrid w:val="0"/>
        <w:spacing w:line="360" w:lineRule="auto"/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2、部门收入总体情况表</w:t>
      </w:r>
    </w:p>
    <w:p>
      <w:pPr>
        <w:adjustRightInd w:val="0"/>
        <w:snapToGrid w:val="0"/>
        <w:spacing w:line="360" w:lineRule="auto"/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3、部门支出总体情况表</w:t>
      </w:r>
    </w:p>
    <w:p>
      <w:pPr>
        <w:adjustRightInd w:val="0"/>
        <w:snapToGrid w:val="0"/>
        <w:spacing w:line="360" w:lineRule="auto"/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4、财政拨款收支总体情况表</w:t>
      </w:r>
    </w:p>
    <w:p>
      <w:pPr>
        <w:adjustRightInd w:val="0"/>
        <w:snapToGrid w:val="0"/>
        <w:spacing w:line="360" w:lineRule="auto"/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5、一般公共预算支出情况表</w:t>
      </w:r>
    </w:p>
    <w:p>
      <w:pPr>
        <w:adjustRightInd w:val="0"/>
        <w:snapToGrid w:val="0"/>
        <w:spacing w:line="360" w:lineRule="auto"/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/>
          <w:b/>
          <w:sz w:val="36"/>
          <w:szCs w:val="36"/>
        </w:rPr>
        <w:t>、一般公共预算基本支出情况表</w:t>
      </w:r>
    </w:p>
    <w:p>
      <w:pPr>
        <w:adjustRightInd w:val="0"/>
        <w:snapToGrid w:val="0"/>
        <w:spacing w:line="360" w:lineRule="auto"/>
        <w:ind w:firstLine="723" w:firstLineChars="20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7</w:t>
      </w:r>
      <w:r>
        <w:rPr>
          <w:rFonts w:hint="eastAsia" w:ascii="仿宋" w:hAnsi="仿宋" w:eastAsia="仿宋"/>
          <w:b/>
          <w:sz w:val="36"/>
          <w:szCs w:val="36"/>
        </w:rPr>
        <w:t>、一般公共预算“三公”经费支出情况表</w:t>
      </w:r>
    </w:p>
    <w:p>
      <w:pPr>
        <w:adjustRightInd w:val="0"/>
        <w:snapToGrid w:val="0"/>
        <w:spacing w:line="360" w:lineRule="auto"/>
        <w:ind w:firstLine="723" w:firstLineChars="200"/>
        <w:rPr>
          <w:rFonts w:hint="eastAsia"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8</w:t>
      </w:r>
      <w:r>
        <w:rPr>
          <w:rFonts w:hint="eastAsia" w:ascii="仿宋" w:hAnsi="仿宋" w:eastAsia="仿宋"/>
          <w:b/>
          <w:sz w:val="36"/>
          <w:szCs w:val="36"/>
        </w:rPr>
        <w:t>、政府性基金预算支出情况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表</w:t>
      </w:r>
    </w:p>
    <w:p>
      <w:pPr>
        <w:adjustRightInd w:val="0"/>
        <w:snapToGrid w:val="0"/>
        <w:spacing w:line="360" w:lineRule="auto"/>
        <w:ind w:firstLine="723" w:firstLineChars="200"/>
        <w:rPr>
          <w:rFonts w:hint="eastAsia" w:ascii="仿宋" w:hAnsi="仿宋" w:eastAsia="仿宋"/>
          <w:b/>
          <w:sz w:val="36"/>
          <w:szCs w:val="36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hd w:val="clear" w:color="auto" w:fill="FFFFFF"/>
        <w:spacing w:line="301" w:lineRule="atLeast"/>
        <w:ind w:leftChars="0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  <w:lang w:val="en-US" w:eastAsia="zh-CN"/>
        </w:rPr>
        <w:t>第一部分、</w:t>
      </w: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部门基本情况</w:t>
      </w:r>
    </w:p>
    <w:p>
      <w:pPr>
        <w:pStyle w:val="3"/>
        <w:shd w:val="clear" w:color="auto" w:fill="FFFFFF"/>
        <w:spacing w:line="301" w:lineRule="atLeast"/>
        <w:ind w:left="720"/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>（一）部门机构设置、主要职能</w:t>
      </w:r>
    </w:p>
    <w:p>
      <w:pPr>
        <w:spacing w:line="568" w:lineRule="atLeast"/>
        <w:ind w:firstLine="652"/>
        <w:rPr>
          <w:rFonts w:ascii="仿宋" w:hAnsi="仿宋" w:eastAsia="仿宋"/>
          <w:spacing w:val="3"/>
          <w:sz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中共信阳市浉河区委党校</w:t>
      </w:r>
      <w:r>
        <w:rPr>
          <w:rFonts w:hint="eastAsia" w:ascii="仿宋" w:hAnsi="仿宋" w:eastAsia="仿宋"/>
          <w:sz w:val="32"/>
          <w:szCs w:val="32"/>
        </w:rPr>
        <w:t>单位机关</w:t>
      </w:r>
      <w:r>
        <w:rPr>
          <w:rFonts w:hint="eastAsia" w:ascii="仿宋" w:hAnsi="仿宋" w:eastAsia="仿宋"/>
          <w:spacing w:val="3"/>
          <w:sz w:val="32"/>
        </w:rPr>
        <w:t>（信阳市浉河区行政干部学校）内设4个职能股室：1、</w:t>
      </w:r>
      <w:r>
        <w:rPr>
          <w:rFonts w:hint="eastAsia" w:ascii="仿宋" w:hAnsi="仿宋" w:eastAsia="仿宋"/>
          <w:b/>
          <w:spacing w:val="3"/>
          <w:sz w:val="32"/>
        </w:rPr>
        <w:t>办公室</w:t>
      </w:r>
      <w:r>
        <w:rPr>
          <w:rFonts w:hint="eastAsia" w:ascii="仿宋" w:hAnsi="仿宋" w:eastAsia="仿宋"/>
          <w:spacing w:val="3"/>
          <w:sz w:val="32"/>
        </w:rPr>
        <w:t>负责落实</w:t>
      </w:r>
      <w:r>
        <w:rPr>
          <w:rFonts w:hint="eastAsia" w:ascii="仿宋" w:hAnsi="仿宋" w:eastAsia="仿宋"/>
          <w:spacing w:val="3"/>
          <w:sz w:val="32"/>
          <w:lang w:eastAsia="zh-CN"/>
        </w:rPr>
        <w:t>中共信阳市浉河区委党校</w:t>
      </w:r>
      <w:r>
        <w:rPr>
          <w:rFonts w:hint="eastAsia" w:ascii="仿宋" w:hAnsi="仿宋" w:eastAsia="仿宋"/>
          <w:spacing w:val="3"/>
          <w:sz w:val="32"/>
        </w:rPr>
        <w:t>党委的决议、决定；负责组织重大活动和会议；负责上传下达、文件收发、立卷归档、文秘、党务、机要、保密、信访、计划生育和安全保卫工作；负责对内对外的联系、协调工作；负责车辆使用和管理工作；负责</w:t>
      </w:r>
      <w:r>
        <w:rPr>
          <w:rFonts w:hint="eastAsia" w:ascii="仿宋" w:hAnsi="仿宋" w:eastAsia="仿宋"/>
          <w:spacing w:val="3"/>
          <w:sz w:val="32"/>
          <w:lang w:eastAsia="zh-CN"/>
        </w:rPr>
        <w:t>中共信阳市浉河区委党校</w:t>
      </w:r>
      <w:r>
        <w:rPr>
          <w:rFonts w:hint="eastAsia" w:ascii="仿宋" w:hAnsi="仿宋" w:eastAsia="仿宋"/>
          <w:spacing w:val="3"/>
          <w:sz w:val="32"/>
        </w:rPr>
        <w:t>干部人事管理和劳动工资工作；负责老干部服务和管理工作。2、</w:t>
      </w:r>
      <w:r>
        <w:rPr>
          <w:rFonts w:hint="eastAsia" w:ascii="仿宋" w:hAnsi="仿宋" w:eastAsia="仿宋"/>
          <w:b/>
          <w:spacing w:val="3"/>
          <w:sz w:val="32"/>
        </w:rPr>
        <w:t>教研室</w:t>
      </w:r>
      <w:r>
        <w:rPr>
          <w:rFonts w:hint="eastAsia" w:ascii="仿宋" w:hAnsi="仿宋" w:eastAsia="仿宋"/>
          <w:spacing w:val="3"/>
          <w:sz w:val="32"/>
        </w:rPr>
        <w:t>负责校内各学科的教学工作，负责编制科研规划、管理、协调科研活动，对马列主义基本理论和改革开放以来出现的新情况、新问题开展理论研究。3</w:t>
      </w:r>
      <w:r>
        <w:rPr>
          <w:rFonts w:hint="eastAsia" w:ascii="仿宋" w:hAnsi="仿宋" w:eastAsia="仿宋"/>
          <w:b/>
          <w:spacing w:val="3"/>
          <w:sz w:val="32"/>
        </w:rPr>
        <w:t>教务处</w:t>
      </w:r>
      <w:r>
        <w:rPr>
          <w:rFonts w:hint="eastAsia" w:ascii="仿宋" w:hAnsi="仿宋" w:eastAsia="仿宋"/>
          <w:spacing w:val="3"/>
          <w:sz w:val="32"/>
        </w:rPr>
        <w:t>负责教学计划的制定和教学管理；负责在校学员的日常管理；负责师资队伍建设工作；负责函授学员的招生、教学、学籍管理等方面的管理工作。4、</w:t>
      </w:r>
      <w:r>
        <w:rPr>
          <w:rFonts w:hint="eastAsia" w:ascii="仿宋" w:hAnsi="仿宋" w:eastAsia="仿宋"/>
          <w:b/>
          <w:spacing w:val="3"/>
          <w:sz w:val="32"/>
        </w:rPr>
        <w:t>总务处</w:t>
      </w:r>
      <w:r>
        <w:rPr>
          <w:rFonts w:hint="eastAsia" w:ascii="仿宋" w:hAnsi="仿宋" w:eastAsia="仿宋"/>
          <w:spacing w:val="3"/>
          <w:sz w:val="32"/>
        </w:rPr>
        <w:t>负责学校的物资供应和财务管理工作；负责学校各项经费的收支预算、结算、分配和使用；承担在校学员和工作人员的生活服务；负责学校基本建设、卫生管理、绿化建设、固定资产、水电管理和维修工作。</w:t>
      </w:r>
    </w:p>
    <w:p>
      <w:pPr>
        <w:pStyle w:val="3"/>
        <w:shd w:val="clear" w:color="auto" w:fill="FFFFFF"/>
        <w:spacing w:line="301" w:lineRule="atLeast"/>
        <w:ind w:left="720"/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 xml:space="preserve">（二）人员构成情况 </w:t>
      </w:r>
    </w:p>
    <w:p>
      <w:pPr>
        <w:spacing w:line="568" w:lineRule="atLeast"/>
        <w:ind w:firstLine="652"/>
        <w:rPr>
          <w:rFonts w:ascii="仿宋" w:hAnsi="仿宋" w:eastAsia="仿宋"/>
          <w:spacing w:val="3"/>
          <w:sz w:val="32"/>
        </w:rPr>
      </w:pPr>
      <w:r>
        <w:rPr>
          <w:rFonts w:hint="eastAsia" w:ascii="仿宋" w:hAnsi="仿宋" w:eastAsia="仿宋"/>
          <w:spacing w:val="3"/>
          <w:sz w:val="32"/>
        </w:rPr>
        <w:t>在职职工19人，离退休人员18人。</w:t>
      </w:r>
      <w:r>
        <w:rPr>
          <w:rFonts w:hint="eastAsia" w:ascii="仿宋" w:hAnsi="仿宋" w:eastAsia="仿宋"/>
          <w:spacing w:val="3"/>
          <w:sz w:val="32"/>
          <w:lang w:eastAsia="zh-CN"/>
        </w:rPr>
        <w:t>中共信阳市浉河区委党校</w:t>
      </w:r>
      <w:r>
        <w:rPr>
          <w:rFonts w:hint="eastAsia" w:ascii="仿宋" w:hAnsi="仿宋" w:eastAsia="仿宋"/>
          <w:spacing w:val="3"/>
          <w:sz w:val="32"/>
        </w:rPr>
        <w:t>（信阳市浉河区行政干部学校）事业编制22名 。其中参公编制5人；事业编制14人；在职19人.离休1人.退休17人.</w:t>
      </w:r>
      <w:r>
        <w:rPr>
          <w:rFonts w:hint="eastAsia" w:ascii="仿宋" w:hAnsi="仿宋" w:eastAsia="仿宋"/>
          <w:spacing w:val="3"/>
          <w:sz w:val="32"/>
          <w:lang w:eastAsia="zh-CN"/>
        </w:rPr>
        <w:t>中共信阳市浉河区委党校</w:t>
      </w:r>
      <w:r>
        <w:rPr>
          <w:rFonts w:hint="eastAsia" w:ascii="仿宋" w:hAnsi="仿宋" w:eastAsia="仿宋"/>
          <w:spacing w:val="3"/>
          <w:sz w:val="32"/>
        </w:rPr>
        <w:t>没有二级机构</w:t>
      </w:r>
    </w:p>
    <w:p>
      <w:pPr>
        <w:pStyle w:val="3"/>
        <w:numPr>
          <w:ilvl w:val="0"/>
          <w:numId w:val="2"/>
        </w:numPr>
        <w:shd w:val="clear" w:color="auto" w:fill="FFFFFF"/>
        <w:spacing w:line="301" w:lineRule="atLeast"/>
        <w:ind w:left="720"/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 xml:space="preserve">预算年度主要工作任务 </w:t>
      </w:r>
    </w:p>
    <w:p>
      <w:pPr>
        <w:pStyle w:val="3"/>
        <w:shd w:val="clear" w:color="auto" w:fill="FFFFFF"/>
        <w:spacing w:line="301" w:lineRule="atLeast"/>
        <w:ind w:firstLine="708"/>
        <w:rPr>
          <w:rFonts w:hint="eastAsia" w:ascii="仿宋" w:hAnsi="仿宋" w:eastAsia="仿宋" w:cstheme="minorBidi"/>
          <w:spacing w:val="3"/>
          <w:kern w:val="2"/>
          <w:sz w:val="32"/>
          <w:szCs w:val="22"/>
        </w:rPr>
      </w:pPr>
      <w:r>
        <w:rPr>
          <w:rFonts w:hint="eastAsia" w:ascii="仿宋" w:hAnsi="仿宋" w:eastAsia="仿宋" w:cstheme="minorBidi"/>
          <w:spacing w:val="3"/>
          <w:kern w:val="2"/>
          <w:sz w:val="32"/>
          <w:szCs w:val="22"/>
        </w:rPr>
        <w:t>根据区委、区政府对干部队伍的建设要求，有计划的轮训和培训我区党员领导干部、国家公务员和意识形态部门的理论骨干。完成区委、区政府和上级主管部门交办的其他事项。</w:t>
      </w:r>
    </w:p>
    <w:p>
      <w:pPr>
        <w:pStyle w:val="3"/>
        <w:shd w:val="clear" w:color="auto" w:fill="FFFFFF"/>
        <w:spacing w:line="301" w:lineRule="atLeast"/>
        <w:ind w:firstLine="708"/>
        <w:rPr>
          <w:rFonts w:hint="eastAsia" w:ascii="仿宋" w:hAnsi="仿宋" w:eastAsia="仿宋" w:cstheme="minorBidi"/>
          <w:spacing w:val="3"/>
          <w:kern w:val="2"/>
          <w:sz w:val="32"/>
          <w:szCs w:val="22"/>
          <w:lang w:eastAsia="zh-CN"/>
        </w:rPr>
      </w:pPr>
      <w:r>
        <w:rPr>
          <w:rFonts w:hint="eastAsia" w:ascii="仿宋" w:hAnsi="仿宋" w:eastAsia="仿宋" w:cstheme="minorBidi"/>
          <w:spacing w:val="3"/>
          <w:kern w:val="2"/>
          <w:sz w:val="32"/>
          <w:szCs w:val="22"/>
        </w:rPr>
        <w:t>纳入</w:t>
      </w:r>
      <w:r>
        <w:rPr>
          <w:rFonts w:hint="eastAsia" w:ascii="仿宋" w:hAnsi="仿宋" w:eastAsia="仿宋" w:cstheme="minorBidi"/>
          <w:spacing w:val="3"/>
          <w:kern w:val="2"/>
          <w:sz w:val="32"/>
          <w:szCs w:val="22"/>
          <w:lang w:eastAsia="zh-CN"/>
        </w:rPr>
        <w:t>中共信阳市浉河区委党校</w:t>
      </w:r>
      <w:r>
        <w:rPr>
          <w:rFonts w:hint="eastAsia" w:ascii="仿宋" w:hAnsi="仿宋" w:eastAsia="仿宋" w:cstheme="minorBidi"/>
          <w:spacing w:val="3"/>
          <w:kern w:val="2"/>
          <w:sz w:val="32"/>
          <w:szCs w:val="22"/>
        </w:rPr>
        <w:t>20</w:t>
      </w:r>
      <w:r>
        <w:rPr>
          <w:rFonts w:hint="eastAsia" w:ascii="仿宋" w:hAnsi="仿宋" w:eastAsia="仿宋" w:cstheme="minorBidi"/>
          <w:spacing w:val="3"/>
          <w:kern w:val="2"/>
          <w:sz w:val="32"/>
          <w:szCs w:val="22"/>
          <w:lang w:val="en-US" w:eastAsia="zh-CN"/>
        </w:rPr>
        <w:t>20</w:t>
      </w:r>
      <w:r>
        <w:rPr>
          <w:rFonts w:hint="eastAsia" w:ascii="仿宋" w:hAnsi="仿宋" w:eastAsia="仿宋" w:cstheme="minorBidi"/>
          <w:spacing w:val="3"/>
          <w:kern w:val="2"/>
          <w:sz w:val="32"/>
          <w:szCs w:val="22"/>
        </w:rPr>
        <w:t>年度部门预算编制范围的单位包括</w:t>
      </w:r>
      <w:r>
        <w:rPr>
          <w:rFonts w:hint="eastAsia" w:ascii="仿宋" w:hAnsi="仿宋" w:eastAsia="仿宋" w:cstheme="minorBidi"/>
          <w:spacing w:val="3"/>
          <w:kern w:val="2"/>
          <w:sz w:val="32"/>
          <w:szCs w:val="22"/>
          <w:lang w:eastAsia="zh-CN"/>
        </w:rPr>
        <w:t>中共信阳市浉河区委党校本级，无</w:t>
      </w:r>
      <w:r>
        <w:rPr>
          <w:rFonts w:hint="eastAsia" w:ascii="仿宋" w:hAnsi="仿宋" w:eastAsia="仿宋" w:cstheme="minorBidi"/>
          <w:spacing w:val="3"/>
          <w:kern w:val="2"/>
          <w:sz w:val="32"/>
          <w:szCs w:val="22"/>
        </w:rPr>
        <w:t>二级归口预算单位</w:t>
      </w:r>
      <w:r>
        <w:rPr>
          <w:rFonts w:hint="eastAsia" w:ascii="仿宋" w:hAnsi="仿宋" w:eastAsia="仿宋" w:cstheme="minorBidi"/>
          <w:spacing w:val="3"/>
          <w:kern w:val="2"/>
          <w:sz w:val="32"/>
          <w:szCs w:val="22"/>
          <w:lang w:eastAsia="zh-CN"/>
        </w:rPr>
        <w:t>。</w:t>
      </w:r>
    </w:p>
    <w:p>
      <w:pPr>
        <w:pStyle w:val="3"/>
        <w:numPr>
          <w:ilvl w:val="0"/>
          <w:numId w:val="0"/>
        </w:numPr>
        <w:shd w:val="clear" w:color="auto" w:fill="FFFFFF"/>
        <w:spacing w:line="301" w:lineRule="atLeast"/>
        <w:ind w:leftChars="0"/>
        <w:rPr>
          <w:rFonts w:hint="default" w:ascii="仿宋" w:hAnsi="仿宋" w:eastAsia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  <w:lang w:val="en-US" w:eastAsia="zh-CN"/>
        </w:rPr>
        <w:t>第二部分、2020年度部分预算情况说明</w:t>
      </w:r>
    </w:p>
    <w:p>
      <w:pPr>
        <w:pStyle w:val="3"/>
        <w:numPr>
          <w:ilvl w:val="0"/>
          <w:numId w:val="0"/>
        </w:numPr>
        <w:shd w:val="clear" w:color="auto" w:fill="FFFFFF"/>
        <w:spacing w:line="301" w:lineRule="atLeast"/>
        <w:ind w:left="420" w:leftChars="0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一、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收入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支出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预算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总体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情况说明</w:t>
      </w:r>
    </w:p>
    <w:p>
      <w:pPr>
        <w:pStyle w:val="3"/>
        <w:shd w:val="clear" w:color="auto" w:fill="FFFFFF"/>
        <w:spacing w:line="301" w:lineRule="atLeast"/>
        <w:ind w:firstLine="640" w:firstLineChars="200"/>
        <w:rPr>
          <w:rFonts w:hint="eastAsia" w:ascii="仿宋" w:hAnsi="仿宋" w:eastAsia="仿宋" w:cstheme="minorBidi"/>
          <w:spacing w:val="3"/>
          <w:kern w:val="2"/>
          <w:sz w:val="32"/>
          <w:szCs w:val="22"/>
        </w:rPr>
      </w:pPr>
      <w:r>
        <w:rPr>
          <w:rFonts w:ascii="仿宋" w:hAnsi="仿宋" w:eastAsia="仿宋"/>
          <w:color w:val="000000"/>
          <w:sz w:val="32"/>
          <w:szCs w:val="32"/>
        </w:rPr>
        <w:t>2020</w:t>
      </w:r>
      <w:r>
        <w:rPr>
          <w:rFonts w:hint="eastAsia" w:ascii="仿宋" w:hAnsi="仿宋" w:eastAsia="仿宋"/>
          <w:color w:val="000000"/>
          <w:sz w:val="32"/>
          <w:szCs w:val="32"/>
        </w:rPr>
        <w:t>年度预算收入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支出总计</w:t>
      </w:r>
      <w:r>
        <w:rPr>
          <w:rFonts w:ascii="仿宋" w:hAnsi="仿宋" w:eastAsia="仿宋"/>
          <w:color w:val="000000"/>
          <w:sz w:val="32"/>
          <w:szCs w:val="32"/>
        </w:rPr>
        <w:t>318</w:t>
      </w:r>
      <w:r>
        <w:rPr>
          <w:rFonts w:hint="eastAsia" w:ascii="仿宋" w:hAnsi="仿宋" w:eastAsia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/>
          <w:color w:val="000000"/>
          <w:sz w:val="32"/>
          <w:szCs w:val="32"/>
        </w:rPr>
        <w:t>上年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相比，</w:t>
      </w:r>
      <w:r>
        <w:rPr>
          <w:rFonts w:hint="eastAsia" w:ascii="仿宋" w:hAnsi="仿宋" w:eastAsia="仿宋"/>
          <w:color w:val="000000"/>
          <w:sz w:val="32"/>
          <w:szCs w:val="32"/>
        </w:rPr>
        <w:t>收入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/>
          <w:color w:val="000000"/>
          <w:sz w:val="32"/>
          <w:szCs w:val="32"/>
        </w:rPr>
        <w:t>预算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各自</w:t>
      </w:r>
      <w:r>
        <w:rPr>
          <w:rFonts w:hint="eastAsia" w:ascii="仿宋" w:hAnsi="仿宋" w:eastAsia="仿宋"/>
          <w:color w:val="000000"/>
          <w:sz w:val="32"/>
          <w:szCs w:val="32"/>
        </w:rPr>
        <w:t>增加</w:t>
      </w:r>
      <w:r>
        <w:rPr>
          <w:rFonts w:ascii="仿宋" w:hAnsi="仿宋" w:eastAsia="仿宋"/>
          <w:color w:val="000000"/>
          <w:sz w:val="32"/>
          <w:szCs w:val="32"/>
        </w:rPr>
        <w:t>75</w:t>
      </w:r>
      <w:r>
        <w:rPr>
          <w:rFonts w:hint="eastAsia" w:ascii="仿宋" w:hAnsi="仿宋" w:eastAsia="仿宋"/>
          <w:color w:val="000000"/>
          <w:sz w:val="32"/>
          <w:szCs w:val="32"/>
        </w:rPr>
        <w:t>万元，增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长</w:t>
      </w:r>
      <w:r>
        <w:rPr>
          <w:rFonts w:ascii="仿宋" w:hAnsi="仿宋" w:eastAsia="仿宋"/>
          <w:color w:val="000000"/>
          <w:sz w:val="32"/>
          <w:szCs w:val="32"/>
        </w:rPr>
        <w:t>30%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主要原因</w:t>
      </w:r>
      <w:r>
        <w:rPr>
          <w:rFonts w:hint="eastAsia" w:ascii="仿宋" w:hAnsi="仿宋" w:eastAsia="仿宋"/>
          <w:color w:val="000000"/>
          <w:sz w:val="32"/>
          <w:szCs w:val="32"/>
        </w:rPr>
        <w:t>系因人员调动，工资及对个人和家庭的补助有所上浮。</w:t>
      </w:r>
    </w:p>
    <w:p>
      <w:pPr>
        <w:pStyle w:val="3"/>
        <w:numPr>
          <w:ilvl w:val="0"/>
          <w:numId w:val="0"/>
        </w:numPr>
        <w:shd w:val="clear" w:color="auto" w:fill="FFFFFF"/>
        <w:spacing w:line="240" w:lineRule="auto"/>
        <w:ind w:leftChars="0" w:firstLine="723" w:firstLineChars="200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二、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收入预算情况说明</w:t>
      </w:r>
    </w:p>
    <w:p>
      <w:pPr>
        <w:pStyle w:val="3"/>
        <w:shd w:val="clear" w:color="auto" w:fill="FFFFFF"/>
        <w:spacing w:line="301" w:lineRule="atLeas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2020年度预算收入318万元，系一般公共预算财政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拨</w:t>
      </w:r>
      <w:r>
        <w:rPr>
          <w:rFonts w:hint="eastAsia" w:ascii="仿宋" w:hAnsi="仿宋" w:eastAsia="仿宋"/>
          <w:color w:val="000000"/>
          <w:sz w:val="32"/>
          <w:szCs w:val="32"/>
        </w:rPr>
        <w:t>款收入.其中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财政拨</w:t>
      </w:r>
      <w:r>
        <w:rPr>
          <w:rFonts w:hint="eastAsia" w:ascii="仿宋" w:hAnsi="仿宋" w:eastAsia="仿宋"/>
          <w:color w:val="000000"/>
          <w:sz w:val="32"/>
          <w:szCs w:val="32"/>
        </w:rPr>
        <w:t>款318万元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占比100%。</w:t>
      </w:r>
    </w:p>
    <w:p>
      <w:pPr>
        <w:pStyle w:val="3"/>
        <w:numPr>
          <w:ilvl w:val="0"/>
          <w:numId w:val="0"/>
        </w:numPr>
        <w:shd w:val="clear" w:color="auto" w:fill="FFFFFF"/>
        <w:spacing w:line="301" w:lineRule="atLeast"/>
        <w:ind w:leftChars="0" w:firstLine="723" w:firstLineChars="200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三、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支出预算情况说明</w:t>
      </w:r>
    </w:p>
    <w:p>
      <w:pPr>
        <w:pStyle w:val="3"/>
        <w:shd w:val="clear" w:color="auto" w:fill="FFFFFF"/>
        <w:spacing w:line="301" w:lineRule="atLeas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2020年度预算支出318万元，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其中</w:t>
      </w:r>
      <w:r>
        <w:rPr>
          <w:rFonts w:hint="eastAsia" w:ascii="仿宋" w:hAnsi="仿宋" w:eastAsia="仿宋"/>
          <w:color w:val="000000"/>
          <w:sz w:val="32"/>
          <w:szCs w:val="32"/>
        </w:rPr>
        <w:t>基本支出255万元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占比80%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32"/>
        </w:rPr>
        <w:t>项目支出63万元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占比20%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723" w:firstLineChars="200"/>
        <w:outlineLvl w:val="1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 w:bidi="ar-SA"/>
        </w:rPr>
        <w:t>四、关于财政拨款收入支出预算总体情况说明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val="en-US" w:eastAsia="zh-CN" w:bidi="ar-SA"/>
        </w:rPr>
      </w:pPr>
      <w:r>
        <w:rPr>
          <w:rFonts w:ascii="仿宋" w:hAnsi="仿宋" w:eastAsia="仿宋" w:cs="Courier New"/>
          <w:sz w:val="32"/>
          <w:szCs w:val="32"/>
        </w:rPr>
        <w:t>20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sz w:val="32"/>
          <w:szCs w:val="32"/>
        </w:rPr>
        <w:t>年财政拨款收支总</w:t>
      </w:r>
      <w:r>
        <w:rPr>
          <w:rFonts w:hint="eastAsia" w:ascii="仿宋" w:hAnsi="仿宋" w:eastAsia="仿宋" w:cs="Courier New"/>
          <w:sz w:val="32"/>
          <w:szCs w:val="32"/>
        </w:rPr>
        <w:t>预</w:t>
      </w:r>
      <w:r>
        <w:rPr>
          <w:rFonts w:hint="eastAsia" w:ascii="仿宋" w:hAnsi="仿宋" w:eastAsia="仿宋" w:cs="宋体"/>
          <w:sz w:val="32"/>
          <w:szCs w:val="32"/>
        </w:rPr>
        <w:t>算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318</w:t>
      </w:r>
      <w:r>
        <w:rPr>
          <w:rFonts w:hint="eastAsia" w:ascii="仿宋" w:hAnsi="仿宋" w:eastAsia="仿宋" w:cs="宋体"/>
          <w:sz w:val="32"/>
          <w:szCs w:val="32"/>
        </w:rPr>
        <w:t>万元。与</w:t>
      </w:r>
      <w:r>
        <w:rPr>
          <w:rFonts w:ascii="仿宋" w:hAnsi="仿宋" w:eastAsia="仿宋" w:cs="Courier New"/>
          <w:sz w:val="32"/>
          <w:szCs w:val="32"/>
        </w:rPr>
        <w:t>201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sz w:val="32"/>
          <w:szCs w:val="32"/>
        </w:rPr>
        <w:t>年相比，财政拨款收、支总计</w:t>
      </w:r>
      <w:r>
        <w:rPr>
          <w:rFonts w:hint="eastAsia" w:ascii="仿宋" w:hAnsi="仿宋" w:eastAsia="仿宋" w:cs="Courier New"/>
          <w:sz w:val="32"/>
          <w:szCs w:val="32"/>
        </w:rPr>
        <w:t>增加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宋体"/>
          <w:sz w:val="32"/>
          <w:szCs w:val="32"/>
        </w:rPr>
        <w:t>万元，</w:t>
      </w:r>
      <w:r>
        <w:rPr>
          <w:rFonts w:hint="eastAsia" w:ascii="仿宋" w:hAnsi="仿宋" w:eastAsia="仿宋" w:cs="Courier New"/>
          <w:sz w:val="32"/>
          <w:szCs w:val="32"/>
        </w:rPr>
        <w:t>上浮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30.86</w:t>
      </w:r>
      <w:r>
        <w:rPr>
          <w:rFonts w:ascii="仿宋" w:hAnsi="仿宋" w:eastAsia="仿宋" w:cs="Courier New"/>
          <w:sz w:val="32"/>
          <w:szCs w:val="32"/>
        </w:rPr>
        <w:t xml:space="preserve"> %</w:t>
      </w:r>
      <w:r>
        <w:rPr>
          <w:rFonts w:hint="eastAsia" w:ascii="仿宋" w:hAnsi="仿宋" w:eastAsia="仿宋" w:cs="宋体"/>
          <w:sz w:val="32"/>
          <w:szCs w:val="32"/>
        </w:rPr>
        <w:t>。</w:t>
      </w:r>
      <w:r>
        <w:rPr>
          <w:rFonts w:hint="eastAsia" w:ascii="仿宋" w:hAnsi="仿宋" w:eastAsia="仿宋" w:cs="Courier New"/>
          <w:sz w:val="32"/>
          <w:szCs w:val="32"/>
        </w:rPr>
        <w:t>因人员工资增加</w:t>
      </w:r>
      <w:r>
        <w:rPr>
          <w:rFonts w:hint="eastAsia" w:ascii="仿宋" w:hAnsi="仿宋" w:eastAsia="仿宋" w:cs="Courier New"/>
          <w:sz w:val="32"/>
          <w:szCs w:val="32"/>
          <w:lang w:eastAsia="zh-CN"/>
        </w:rPr>
        <w:t>及社会保障缴费</w:t>
      </w:r>
      <w:r>
        <w:rPr>
          <w:rFonts w:hint="eastAsia" w:ascii="仿宋" w:hAnsi="仿宋" w:eastAsia="仿宋" w:cs="Courier New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723" w:firstLineChars="200"/>
        <w:outlineLvl w:val="1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 w:bidi="ar-SA"/>
        </w:rPr>
        <w:t>五、一般公共预算支出预算情况说明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" w:hAnsi="仿宋" w:eastAsia="仿宋" w:cs="Courier New"/>
          <w:sz w:val="32"/>
          <w:szCs w:val="32"/>
          <w:lang w:val="en-US"/>
        </w:rPr>
      </w:pPr>
      <w:r>
        <w:rPr>
          <w:rFonts w:ascii="仿宋" w:hAnsi="仿宋" w:eastAsia="仿宋" w:cs="Courier New"/>
          <w:sz w:val="32"/>
          <w:szCs w:val="32"/>
        </w:rPr>
        <w:t>20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sz w:val="32"/>
          <w:szCs w:val="32"/>
        </w:rPr>
        <w:t>年财政拨款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支出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318</w:t>
      </w:r>
      <w:r>
        <w:rPr>
          <w:rFonts w:hint="eastAsia" w:ascii="仿宋" w:hAnsi="仿宋" w:eastAsia="仿宋" w:cs="宋体"/>
          <w:bCs/>
          <w:sz w:val="32"/>
          <w:szCs w:val="32"/>
        </w:rPr>
        <w:t>万元，占支出合计的</w:t>
      </w:r>
      <w:r>
        <w:rPr>
          <w:rFonts w:ascii="仿宋" w:hAnsi="仿宋" w:eastAsia="仿宋" w:cs="Courier New"/>
          <w:bCs/>
          <w:sz w:val="32"/>
          <w:szCs w:val="32"/>
        </w:rPr>
        <w:t>100%</w:t>
      </w:r>
      <w:r>
        <w:rPr>
          <w:rFonts w:hint="eastAsia" w:ascii="仿宋" w:hAnsi="仿宋" w:eastAsia="仿宋" w:cs="宋体"/>
          <w:bCs/>
          <w:sz w:val="32"/>
          <w:szCs w:val="32"/>
        </w:rPr>
        <w:t>。与</w:t>
      </w:r>
      <w:r>
        <w:rPr>
          <w:rFonts w:ascii="仿宋" w:hAnsi="仿宋" w:eastAsia="仿宋" w:cs="Courier New"/>
          <w:bCs/>
          <w:sz w:val="32"/>
          <w:szCs w:val="32"/>
        </w:rPr>
        <w:t>201</w:t>
      </w:r>
      <w:r>
        <w:rPr>
          <w:rFonts w:hint="eastAsia" w:ascii="仿宋" w:hAnsi="仿宋" w:eastAsia="仿宋" w:cs="Courier New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bCs/>
          <w:sz w:val="32"/>
          <w:szCs w:val="32"/>
        </w:rPr>
        <w:t>年相比，</w:t>
      </w:r>
      <w:r>
        <w:rPr>
          <w:rFonts w:hint="eastAsia" w:ascii="仿宋" w:hAnsi="仿宋" w:eastAsia="仿宋" w:cs="Courier New"/>
          <w:sz w:val="32"/>
          <w:szCs w:val="32"/>
        </w:rPr>
        <w:t>增加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宋体"/>
          <w:sz w:val="32"/>
          <w:szCs w:val="32"/>
        </w:rPr>
        <w:t>万元，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增长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30</w:t>
      </w:r>
      <w:r>
        <w:rPr>
          <w:rFonts w:ascii="仿宋" w:hAnsi="仿宋" w:eastAsia="仿宋" w:cs="Courier New"/>
          <w:sz w:val="32"/>
          <w:szCs w:val="32"/>
        </w:rPr>
        <w:t>%</w:t>
      </w:r>
      <w:r>
        <w:rPr>
          <w:rFonts w:hint="eastAsia" w:ascii="仿宋" w:hAnsi="仿宋" w:eastAsia="仿宋" w:cs="宋体"/>
          <w:sz w:val="32"/>
          <w:szCs w:val="32"/>
        </w:rPr>
        <w:t>。</w:t>
      </w:r>
      <w:r>
        <w:rPr>
          <w:rFonts w:hint="eastAsia" w:ascii="仿宋" w:hAnsi="仿宋" w:eastAsia="仿宋" w:cs="Courier New"/>
          <w:sz w:val="32"/>
          <w:szCs w:val="32"/>
        </w:rPr>
        <w:t>因为人员工资增加</w:t>
      </w:r>
      <w:r>
        <w:rPr>
          <w:rFonts w:hint="eastAsia" w:ascii="仿宋" w:hAnsi="仿宋" w:eastAsia="仿宋" w:cs="Courier New"/>
          <w:sz w:val="32"/>
          <w:szCs w:val="32"/>
          <w:lang w:eastAsia="zh-CN"/>
        </w:rPr>
        <w:t>及社会保障缴费，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其中基本支出255万元，占比80%，项目支出63万元，占比20%。</w:t>
      </w:r>
    </w:p>
    <w:p>
      <w:pPr>
        <w:adjustRightInd w:val="0"/>
        <w:snapToGrid w:val="0"/>
        <w:spacing w:line="360" w:lineRule="auto"/>
        <w:ind w:firstLine="723" w:firstLineChars="200"/>
        <w:outlineLvl w:val="1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 w:bidi="ar-SA"/>
        </w:rPr>
        <w:t>六、一般公共预算基本支出预算情况说明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Courier New"/>
          <w:sz w:val="32"/>
          <w:szCs w:val="32"/>
        </w:rPr>
      </w:pPr>
      <w:r>
        <w:rPr>
          <w:rFonts w:ascii="仿宋" w:hAnsi="仿宋" w:eastAsia="仿宋" w:cs="Courier New"/>
          <w:sz w:val="32"/>
          <w:szCs w:val="32"/>
        </w:rPr>
        <w:t>20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sz w:val="32"/>
          <w:szCs w:val="32"/>
        </w:rPr>
        <w:t>年基本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支出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>255</w:t>
      </w:r>
      <w:r>
        <w:rPr>
          <w:rFonts w:hint="eastAsia" w:ascii="仿宋" w:hAnsi="仿宋" w:eastAsia="仿宋" w:cs="宋体"/>
          <w:sz w:val="32"/>
          <w:szCs w:val="32"/>
        </w:rPr>
        <w:t>万元，主要用于以下方面：</w:t>
      </w:r>
      <w:r>
        <w:rPr>
          <w:rFonts w:hint="eastAsia" w:ascii="仿宋" w:hAnsi="仿宋" w:eastAsia="仿宋" w:cs="宋体"/>
          <w:bCs/>
          <w:spacing w:val="-1"/>
          <w:kern w:val="0"/>
          <w:sz w:val="32"/>
          <w:szCs w:val="32"/>
        </w:rPr>
        <w:t>人员经费</w:t>
      </w:r>
      <w:r>
        <w:rPr>
          <w:rFonts w:hint="eastAsia" w:ascii="仿宋" w:hAnsi="仿宋" w:eastAsia="仿宋" w:cs="??_GB2312"/>
          <w:bCs/>
          <w:spacing w:val="-1"/>
          <w:kern w:val="0"/>
          <w:sz w:val="32"/>
          <w:szCs w:val="32"/>
          <w:lang w:val="en-US" w:eastAsia="zh-CN"/>
        </w:rPr>
        <w:t>249</w:t>
      </w:r>
      <w:r>
        <w:rPr>
          <w:rFonts w:hint="eastAsia" w:ascii="仿宋" w:hAnsi="仿宋" w:eastAsia="仿宋" w:cs="宋体"/>
          <w:bCs/>
          <w:spacing w:val="-1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bCs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主要包括：基本工资、津贴补贴、绩效工资、机关事业单位基本养老保险缴费、职业年金、基本医疗保险缴费等；</w:t>
      </w:r>
      <w:r>
        <w:rPr>
          <w:rFonts w:hint="eastAsia" w:ascii="仿宋" w:hAnsi="仿宋" w:eastAsia="仿宋" w:cs="宋体"/>
          <w:b w:val="0"/>
          <w:bCs/>
          <w:spacing w:val="-1"/>
          <w:kern w:val="0"/>
          <w:sz w:val="32"/>
          <w:szCs w:val="32"/>
        </w:rPr>
        <w:t>公用经费</w:t>
      </w:r>
      <w:r>
        <w:rPr>
          <w:rFonts w:hint="eastAsia" w:ascii="仿宋" w:hAnsi="仿宋" w:eastAsia="仿宋" w:cs="宋体"/>
          <w:b w:val="0"/>
          <w:bCs/>
          <w:spacing w:val="-1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pacing w:val="-2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sz w:val="32"/>
          <w:szCs w:val="32"/>
        </w:rPr>
        <w:t>，主要包括：办公费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差旅费、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维护费、</w:t>
      </w:r>
      <w:r>
        <w:rPr>
          <w:rFonts w:hint="eastAsia" w:ascii="仿宋" w:hAnsi="仿宋" w:eastAsia="仿宋" w:cs="宋体"/>
          <w:sz w:val="32"/>
          <w:szCs w:val="32"/>
        </w:rPr>
        <w:t>公务接待费、劳务费、工会经费等。</w:t>
      </w:r>
    </w:p>
    <w:p>
      <w:pPr>
        <w:adjustRightInd w:val="0"/>
        <w:snapToGrid w:val="0"/>
        <w:spacing w:line="360" w:lineRule="auto"/>
        <w:ind w:firstLine="723" w:firstLineChars="200"/>
        <w:outlineLvl w:val="1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 w:bidi="ar-SA"/>
        </w:rPr>
        <w:t>七、关于“三公”经费支出预算情况说明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“三公”经费财政拨款支出预算总体情况说明。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Courier New"/>
          <w:sz w:val="32"/>
          <w:szCs w:val="32"/>
        </w:rPr>
      </w:pPr>
      <w:r>
        <w:rPr>
          <w:rFonts w:ascii="仿宋" w:hAnsi="仿宋" w:eastAsia="仿宋" w:cs="Courier New"/>
          <w:sz w:val="32"/>
          <w:szCs w:val="32"/>
        </w:rPr>
        <w:t>20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sz w:val="32"/>
          <w:szCs w:val="32"/>
        </w:rPr>
        <w:t>年度</w:t>
      </w:r>
      <w:r>
        <w:rPr>
          <w:rFonts w:ascii="仿宋" w:hAnsi="仿宋" w:eastAsia="仿宋" w:cs="Courier New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三公</w:t>
      </w:r>
      <w:r>
        <w:rPr>
          <w:rFonts w:ascii="仿宋" w:hAnsi="仿宋" w:eastAsia="仿宋" w:cs="Courier New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经费财政拨款支出预算为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万元，其中：因公出国（境）费支出</w:t>
      </w:r>
      <w:r>
        <w:rPr>
          <w:rFonts w:hint="eastAsia" w:ascii="仿宋" w:hAnsi="仿宋" w:eastAsia="仿宋" w:cs="Courier New"/>
          <w:sz w:val="32"/>
          <w:szCs w:val="32"/>
        </w:rPr>
        <w:t>预算</w:t>
      </w:r>
      <w:r>
        <w:rPr>
          <w:rFonts w:hint="eastAsia" w:ascii="仿宋" w:hAnsi="仿宋" w:eastAsia="仿宋" w:cs="宋体"/>
          <w:sz w:val="32"/>
          <w:szCs w:val="32"/>
        </w:rPr>
        <w:t>为</w:t>
      </w:r>
      <w:r>
        <w:rPr>
          <w:rFonts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万元；公务用车购置及运行费支出</w:t>
      </w:r>
      <w:r>
        <w:rPr>
          <w:rFonts w:hint="eastAsia" w:ascii="仿宋" w:hAnsi="仿宋" w:eastAsia="仿宋" w:cs="Courier New"/>
          <w:sz w:val="32"/>
          <w:szCs w:val="32"/>
        </w:rPr>
        <w:t>预</w:t>
      </w:r>
      <w:r>
        <w:rPr>
          <w:rFonts w:hint="eastAsia" w:ascii="仿宋" w:hAnsi="仿宋" w:eastAsia="仿宋" w:cs="宋体"/>
          <w:sz w:val="32"/>
          <w:szCs w:val="32"/>
        </w:rPr>
        <w:t>算为</w:t>
      </w:r>
      <w:r>
        <w:rPr>
          <w:rFonts w:hint="eastAsia"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万元；公务接待费支出</w:t>
      </w:r>
      <w:r>
        <w:rPr>
          <w:rFonts w:hint="eastAsia" w:ascii="仿宋" w:hAnsi="仿宋" w:eastAsia="仿宋" w:cs="Courier New"/>
          <w:sz w:val="32"/>
          <w:szCs w:val="32"/>
        </w:rPr>
        <w:t>预</w:t>
      </w:r>
      <w:r>
        <w:rPr>
          <w:rFonts w:hint="eastAsia" w:ascii="仿宋" w:hAnsi="仿宋" w:eastAsia="仿宋" w:cs="宋体"/>
          <w:sz w:val="32"/>
          <w:szCs w:val="32"/>
        </w:rPr>
        <w:t>算为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万元。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比2019年减少0.18万元，</w:t>
      </w:r>
      <w:r>
        <w:rPr>
          <w:rFonts w:hint="eastAsia" w:ascii="仿宋" w:hAnsi="仿宋" w:eastAsia="仿宋" w:cs="宋体"/>
          <w:sz w:val="32"/>
          <w:szCs w:val="32"/>
        </w:rPr>
        <w:t>公务接待费支出减少的主要原因是：现在公务接待的标准是同城不吃饭，禁止使用高档烟酒，禁止出入高档酒店进行招待，大大减少了公务接待费用。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“三公”经费财政拨款支出预算具体情况说明。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Courier New"/>
          <w:sz w:val="32"/>
          <w:szCs w:val="32"/>
        </w:rPr>
      </w:pPr>
      <w:r>
        <w:rPr>
          <w:rFonts w:ascii="仿宋" w:hAnsi="仿宋" w:eastAsia="仿宋" w:cs="Courier New"/>
          <w:sz w:val="32"/>
          <w:szCs w:val="32"/>
        </w:rPr>
        <w:t>20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sz w:val="32"/>
          <w:szCs w:val="32"/>
        </w:rPr>
        <w:t>年度</w:t>
      </w:r>
      <w:r>
        <w:rPr>
          <w:rFonts w:ascii="仿宋" w:hAnsi="仿宋" w:eastAsia="仿宋" w:cs="Courier New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三公</w:t>
      </w:r>
      <w:r>
        <w:rPr>
          <w:rFonts w:ascii="仿宋" w:hAnsi="仿宋" w:eastAsia="仿宋" w:cs="Courier New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经费财政拨款支出</w:t>
      </w:r>
      <w:r>
        <w:rPr>
          <w:rFonts w:hint="eastAsia" w:ascii="仿宋" w:hAnsi="仿宋" w:eastAsia="仿宋" w:cs="Courier New"/>
          <w:sz w:val="32"/>
          <w:szCs w:val="32"/>
        </w:rPr>
        <w:t>预</w:t>
      </w:r>
      <w:r>
        <w:rPr>
          <w:rFonts w:hint="eastAsia" w:ascii="仿宋" w:hAnsi="仿宋" w:eastAsia="仿宋" w:cs="宋体"/>
          <w:sz w:val="32"/>
          <w:szCs w:val="32"/>
        </w:rPr>
        <w:t>算中，因公出国（境）费支出</w:t>
      </w:r>
      <w:r>
        <w:rPr>
          <w:rFonts w:hint="eastAsia" w:ascii="仿宋" w:hAnsi="仿宋" w:eastAsia="仿宋" w:cs="Courier New"/>
          <w:sz w:val="32"/>
          <w:szCs w:val="32"/>
        </w:rPr>
        <w:t>预</w:t>
      </w:r>
      <w:r>
        <w:rPr>
          <w:rFonts w:hint="eastAsia" w:ascii="仿宋" w:hAnsi="仿宋" w:eastAsia="仿宋" w:cs="宋体"/>
          <w:sz w:val="32"/>
          <w:szCs w:val="32"/>
        </w:rPr>
        <w:t>算</w:t>
      </w:r>
      <w:r>
        <w:rPr>
          <w:rFonts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公务用车购置及运行费支出</w:t>
      </w:r>
      <w:r>
        <w:rPr>
          <w:rFonts w:hint="eastAsia" w:ascii="仿宋" w:hAnsi="仿宋" w:eastAsia="仿宋" w:cs="Courier New"/>
          <w:sz w:val="32"/>
          <w:szCs w:val="32"/>
        </w:rPr>
        <w:t>预</w:t>
      </w:r>
      <w:r>
        <w:rPr>
          <w:rFonts w:hint="eastAsia" w:ascii="仿宋" w:hAnsi="仿宋" w:eastAsia="仿宋" w:cs="宋体"/>
          <w:sz w:val="32"/>
          <w:szCs w:val="32"/>
        </w:rPr>
        <w:t>算</w:t>
      </w:r>
      <w:r>
        <w:rPr>
          <w:rFonts w:hint="eastAsia"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万元，公务接待费支出</w:t>
      </w:r>
      <w:r>
        <w:rPr>
          <w:rFonts w:hint="eastAsia" w:ascii="仿宋" w:hAnsi="仿宋" w:eastAsia="仿宋" w:cs="Courier New"/>
          <w:sz w:val="32"/>
          <w:szCs w:val="32"/>
        </w:rPr>
        <w:t>预</w:t>
      </w:r>
      <w:r>
        <w:rPr>
          <w:rFonts w:hint="eastAsia" w:ascii="仿宋" w:hAnsi="仿宋" w:eastAsia="仿宋" w:cs="宋体"/>
          <w:sz w:val="32"/>
          <w:szCs w:val="32"/>
        </w:rPr>
        <w:t>算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万元</w:t>
      </w:r>
      <w:r>
        <w:rPr>
          <w:rFonts w:hint="eastAsia" w:ascii="仿宋" w:hAnsi="仿宋" w:eastAsia="仿宋" w:cs="Courier New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具体情况如下：</w:t>
      </w:r>
    </w:p>
    <w:p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Courier New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因公出国（境）费</w:t>
      </w:r>
      <w:r>
        <w:rPr>
          <w:rFonts w:hint="eastAsia" w:ascii="仿宋" w:hAnsi="仿宋" w:eastAsia="仿宋" w:cs="宋体"/>
          <w:sz w:val="32"/>
          <w:szCs w:val="32"/>
        </w:rPr>
        <w:t>支出</w:t>
      </w:r>
      <w:r>
        <w:rPr>
          <w:rFonts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万元。全年安排机关单位因公出国（境）团组</w:t>
      </w:r>
      <w:r>
        <w:rPr>
          <w:rFonts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个，累计</w:t>
      </w:r>
      <w:r>
        <w:rPr>
          <w:rFonts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人次。开支内容包括：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Courier New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出国谈判、工作磋商</w:t>
      </w:r>
      <w:r>
        <w:rPr>
          <w:rFonts w:hint="eastAsia" w:ascii="仿宋" w:hAnsi="仿宋" w:eastAsia="仿宋" w:cs="宋体"/>
          <w:sz w:val="32"/>
          <w:szCs w:val="32"/>
        </w:rPr>
        <w:t>支出</w:t>
      </w:r>
      <w:r>
        <w:rPr>
          <w:rFonts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万元，主要用于参加以下谈判和磋商：无。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Courier New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境外业务培训</w:t>
      </w:r>
      <w:r>
        <w:rPr>
          <w:rFonts w:ascii="仿宋" w:hAnsi="仿宋" w:eastAsia="仿宋" w:cs="Courier New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支出支出</w:t>
      </w:r>
      <w:r>
        <w:rPr>
          <w:rFonts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万元，没有用于为提高财政管理水平而举办的公共财政支出结构比较研究、社会保障政策等。</w:t>
      </w:r>
    </w:p>
    <w:p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Courier New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公务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用车购置及运行费</w:t>
      </w:r>
      <w:r>
        <w:rPr>
          <w:rFonts w:hint="eastAsia" w:ascii="仿宋" w:hAnsi="仿宋" w:eastAsia="仿宋" w:cs="宋体"/>
          <w:sz w:val="32"/>
          <w:szCs w:val="32"/>
        </w:rPr>
        <w:t>支出</w:t>
      </w:r>
      <w:r>
        <w:rPr>
          <w:rFonts w:hint="eastAsia"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万元。其中：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Courier New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公务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用车购置</w:t>
      </w:r>
      <w:r>
        <w:rPr>
          <w:rFonts w:hint="eastAsia" w:ascii="仿宋" w:hAnsi="仿宋" w:eastAsia="仿宋" w:cs="宋体"/>
          <w:sz w:val="32"/>
          <w:szCs w:val="32"/>
        </w:rPr>
        <w:t>支出为</w:t>
      </w:r>
      <w:r>
        <w:rPr>
          <w:rFonts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；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Courier New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公务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用车运行</w:t>
      </w:r>
      <w:r>
        <w:rPr>
          <w:rFonts w:hint="eastAsia" w:ascii="仿宋" w:hAnsi="仿宋" w:eastAsia="仿宋" w:cs="宋体"/>
          <w:sz w:val="32"/>
          <w:szCs w:val="32"/>
        </w:rPr>
        <w:t>支出</w:t>
      </w:r>
      <w:r>
        <w:rPr>
          <w:rFonts w:hint="eastAsia"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万元。</w:t>
      </w:r>
      <w:r>
        <w:rPr>
          <w:rFonts w:hint="eastAsia" w:ascii="仿宋" w:hAnsi="仿宋" w:eastAsia="仿宋" w:cs="Courier New"/>
          <w:sz w:val="32"/>
          <w:szCs w:val="32"/>
        </w:rPr>
        <w:t>现有执法用车一辆，</w:t>
      </w:r>
      <w:r>
        <w:rPr>
          <w:rFonts w:hint="eastAsia" w:ascii="仿宋" w:hAnsi="仿宋" w:eastAsia="仿宋" w:cs="宋体"/>
          <w:sz w:val="32"/>
          <w:szCs w:val="32"/>
        </w:rPr>
        <w:t>主要用于车辆</w:t>
      </w:r>
      <w:r>
        <w:rPr>
          <w:rFonts w:hint="eastAsia" w:ascii="仿宋" w:hAnsi="仿宋" w:eastAsia="仿宋" w:cs="Courier New"/>
          <w:sz w:val="32"/>
          <w:szCs w:val="32"/>
        </w:rPr>
        <w:t>保险、</w:t>
      </w:r>
      <w:r>
        <w:rPr>
          <w:rFonts w:hint="eastAsia" w:ascii="仿宋" w:hAnsi="仿宋" w:eastAsia="仿宋" w:cs="宋体"/>
          <w:sz w:val="32"/>
          <w:szCs w:val="32"/>
        </w:rPr>
        <w:t>维修和加油费。</w:t>
      </w:r>
    </w:p>
    <w:p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Courier New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公务接待费</w:t>
      </w:r>
      <w:r>
        <w:rPr>
          <w:rFonts w:hint="eastAsia" w:ascii="仿宋" w:hAnsi="仿宋" w:eastAsia="仿宋" w:cs="宋体"/>
          <w:sz w:val="32"/>
          <w:szCs w:val="32"/>
        </w:rPr>
        <w:t>支出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万元。其中：</w:t>
      </w:r>
      <w:r>
        <w:rPr>
          <w:rFonts w:hint="eastAsia" w:ascii="仿宋" w:hAnsi="仿宋" w:eastAsia="仿宋"/>
          <w:sz w:val="32"/>
          <w:szCs w:val="32"/>
        </w:rPr>
        <w:t>主要用于按规定开支的各类公务接待支出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比2019年减少0.18万元，</w:t>
      </w:r>
      <w:r>
        <w:rPr>
          <w:rFonts w:hint="eastAsia" w:ascii="仿宋" w:hAnsi="仿宋" w:eastAsia="仿宋" w:cs="宋体"/>
          <w:sz w:val="32"/>
          <w:szCs w:val="32"/>
        </w:rPr>
        <w:t>公务接待费支出减少的主要原因是：现在公务接待的标准是同城不吃饭，禁止使用高档烟酒，禁止出入高档酒店进行招待，大大减少了公务接待费用。</w:t>
      </w:r>
    </w:p>
    <w:p>
      <w:pPr>
        <w:adjustRightInd w:val="0"/>
        <w:snapToGrid w:val="0"/>
        <w:spacing w:line="360" w:lineRule="auto"/>
        <w:ind w:firstLine="723" w:firstLineChars="200"/>
        <w:outlineLvl w:val="1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 w:bidi="ar-SA"/>
        </w:rPr>
        <w:t>八、关于政府性基金预算财政拨款支出预算情况说明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Courier New"/>
          <w:sz w:val="32"/>
          <w:szCs w:val="32"/>
        </w:rPr>
      </w:pPr>
      <w:r>
        <w:rPr>
          <w:rFonts w:ascii="仿宋" w:hAnsi="仿宋" w:eastAsia="仿宋" w:cs="Courier New"/>
          <w:sz w:val="32"/>
          <w:szCs w:val="32"/>
        </w:rPr>
        <w:t>20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sz w:val="32"/>
          <w:szCs w:val="32"/>
        </w:rPr>
        <w:t>年度政府性基金预算财政拨款支出年初预算为</w:t>
      </w:r>
      <w:r>
        <w:rPr>
          <w:rFonts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万元，支出为</w:t>
      </w:r>
      <w:r>
        <w:rPr>
          <w:rFonts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万元。</w:t>
      </w:r>
    </w:p>
    <w:p>
      <w:pPr>
        <w:adjustRightInd w:val="0"/>
        <w:snapToGrid w:val="0"/>
        <w:spacing w:line="360" w:lineRule="auto"/>
        <w:ind w:firstLine="723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 w:bidi="ar-SA"/>
        </w:rPr>
        <w:t>九、其他重要事项的情况说明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</w:rPr>
        <w:t>机关运行经费安排情况说明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2020</w:t>
      </w:r>
      <w:r>
        <w:rPr>
          <w:rFonts w:hint="eastAsia" w:ascii="仿宋" w:hAnsi="仿宋" w:eastAsia="仿宋"/>
          <w:sz w:val="32"/>
          <w:szCs w:val="32"/>
        </w:rPr>
        <w:t>年度机关运行经费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万元，其中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办公费用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万元，差旅费用</w:t>
      </w:r>
      <w:r>
        <w:rPr>
          <w:rFonts w:ascii="仿宋" w:hAnsi="仿宋" w:eastAsia="仿宋"/>
          <w:sz w:val="32"/>
          <w:szCs w:val="32"/>
        </w:rPr>
        <w:t>0.5</w:t>
      </w:r>
      <w:r>
        <w:rPr>
          <w:rFonts w:hint="eastAsia" w:ascii="仿宋" w:hAnsi="仿宋" w:eastAsia="仿宋"/>
          <w:sz w:val="32"/>
          <w:szCs w:val="32"/>
        </w:rPr>
        <w:t>万元，维护费</w:t>
      </w:r>
      <w:r>
        <w:rPr>
          <w:rFonts w:ascii="仿宋" w:hAnsi="仿宋" w:eastAsia="仿宋"/>
          <w:sz w:val="32"/>
          <w:szCs w:val="32"/>
        </w:rPr>
        <w:t>0.5</w:t>
      </w:r>
      <w:r>
        <w:rPr>
          <w:rFonts w:hint="eastAsia" w:ascii="仿宋" w:hAnsi="仿宋" w:eastAsia="仿宋"/>
          <w:sz w:val="32"/>
          <w:szCs w:val="32"/>
        </w:rPr>
        <w:t>万元，公务接待费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万元，劳务费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万元，工会经费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??_GB2312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政府采购支出情况。</w:t>
      </w:r>
    </w:p>
    <w:p>
      <w:pPr>
        <w:ind w:firstLine="640" w:firstLineChars="200"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 w:cs="Courier New"/>
          <w:color w:val="auto"/>
          <w:sz w:val="32"/>
          <w:szCs w:val="32"/>
        </w:rPr>
        <w:t>20</w:t>
      </w:r>
      <w:r>
        <w:rPr>
          <w:rFonts w:hint="eastAsia" w:ascii="仿宋" w:hAnsi="仿宋" w:eastAsia="仿宋" w:cs="Courier New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年度政府采购支出</w:t>
      </w:r>
      <w:r>
        <w:rPr>
          <w:rFonts w:hint="eastAsia" w:ascii="仿宋" w:hAnsi="仿宋" w:eastAsia="仿宋" w:cs="Courier New"/>
          <w:color w:val="auto"/>
          <w:sz w:val="32"/>
          <w:szCs w:val="32"/>
        </w:rPr>
        <w:t>预算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总额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万元，其中：政府采购货物支出</w:t>
      </w:r>
      <w:r>
        <w:rPr>
          <w:rFonts w:hint="eastAsia" w:ascii="仿宋" w:hAnsi="仿宋" w:eastAsia="仿宋" w:cs="Courier New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 w:bidi="ar-SA"/>
        </w:rPr>
        <w:t>政府采购工程支出</w:t>
      </w: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 w:bidi="ar-SA"/>
        </w:rPr>
        <w:t>万元、政府采购服务支出</w:t>
      </w: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 w:bidi="ar-SA"/>
        </w:rPr>
        <w:t>万元。授予中小企业合同金额</w:t>
      </w: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 w:bidi="ar-SA"/>
        </w:rPr>
        <w:t>万元，占政府采购支出总额的</w:t>
      </w: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 w:bidi="ar-SA"/>
        </w:rPr>
        <w:t>%，其中：授予小微企业合同金额</w:t>
      </w: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 w:bidi="ar-SA"/>
        </w:rPr>
        <w:t>万元，占政府采购支出总额的</w:t>
      </w: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 w:bidi="ar-SA"/>
        </w:rPr>
        <w:t>%。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国有资产占用情况说明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Courier New"/>
          <w:sz w:val="32"/>
          <w:szCs w:val="32"/>
        </w:rPr>
        <w:t>20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末</w:t>
      </w:r>
      <w:r>
        <w:rPr>
          <w:rFonts w:hint="eastAsia" w:ascii="仿宋" w:hAnsi="仿宋" w:eastAsia="仿宋" w:cs="宋体"/>
          <w:sz w:val="32"/>
          <w:szCs w:val="32"/>
        </w:rPr>
        <w:t>，</w:t>
      </w:r>
      <w:r>
        <w:rPr>
          <w:rFonts w:hint="eastAsia" w:ascii="仿宋" w:hAnsi="仿宋" w:eastAsia="仿宋"/>
          <w:spacing w:val="3"/>
          <w:sz w:val="32"/>
          <w:lang w:eastAsia="zh-CN"/>
        </w:rPr>
        <w:t>中共信阳市浉河区委党校</w:t>
      </w:r>
      <w:r>
        <w:rPr>
          <w:rFonts w:hint="eastAsia" w:ascii="仿宋" w:hAnsi="仿宋" w:eastAsia="仿宋" w:cs="宋体"/>
          <w:sz w:val="32"/>
          <w:szCs w:val="32"/>
        </w:rPr>
        <w:t>共有车辆</w:t>
      </w:r>
      <w:r>
        <w:rPr>
          <w:rFonts w:hint="eastAsia"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辆，其中：一般公务用车</w:t>
      </w:r>
      <w:r>
        <w:rPr>
          <w:rFonts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辆、一般执法执勤用车0辆、特种专业技术用车</w:t>
      </w:r>
      <w:r>
        <w:rPr>
          <w:rFonts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辆，其他用车</w:t>
      </w:r>
      <w:r>
        <w:rPr>
          <w:rFonts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辆。单价</w:t>
      </w:r>
      <w:r>
        <w:rPr>
          <w:rFonts w:ascii="仿宋" w:hAnsi="仿宋" w:eastAsia="仿宋" w:cs="Courier New"/>
          <w:sz w:val="32"/>
          <w:szCs w:val="32"/>
        </w:rPr>
        <w:t>50</w:t>
      </w:r>
      <w:r>
        <w:rPr>
          <w:rFonts w:hint="eastAsia" w:ascii="仿宋" w:hAnsi="仿宋" w:eastAsia="仿宋" w:cs="宋体"/>
          <w:sz w:val="32"/>
          <w:szCs w:val="32"/>
        </w:rPr>
        <w:t>万元以上通用设备</w:t>
      </w:r>
      <w:r>
        <w:rPr>
          <w:rFonts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台（套），单位价值</w:t>
      </w:r>
      <w:r>
        <w:rPr>
          <w:rFonts w:ascii="仿宋" w:hAnsi="仿宋" w:eastAsia="仿宋" w:cs="Courier New"/>
          <w:sz w:val="32"/>
          <w:szCs w:val="32"/>
        </w:rPr>
        <w:t>100</w:t>
      </w:r>
      <w:r>
        <w:rPr>
          <w:rFonts w:hint="eastAsia" w:ascii="仿宋" w:hAnsi="仿宋" w:eastAsia="仿宋" w:cs="宋体"/>
          <w:sz w:val="32"/>
          <w:szCs w:val="32"/>
        </w:rPr>
        <w:t>万元以上专用设备</w:t>
      </w:r>
      <w:r>
        <w:rPr>
          <w:rFonts w:ascii="仿宋" w:hAnsi="仿宋" w:eastAsia="仿宋" w:cs="Courier New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台（套）。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  <w:lang w:eastAsia="zh-CN"/>
        </w:rPr>
        <w:t>（四）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/>
          <w:sz w:val="32"/>
          <w:szCs w:val="32"/>
          <w:lang w:eastAsia="zh-CN"/>
        </w:rPr>
        <w:t>中共信阳市浉河区委党校</w:t>
      </w:r>
      <w:r>
        <w:rPr>
          <w:rFonts w:hint="eastAsia" w:ascii="仿宋" w:hAnsi="仿宋" w:eastAsia="仿宋"/>
          <w:sz w:val="32"/>
          <w:szCs w:val="32"/>
        </w:rPr>
        <w:t>专项经费</w:t>
      </w:r>
      <w:r>
        <w:rPr>
          <w:rFonts w:ascii="仿宋" w:hAnsi="仿宋" w:eastAsia="仿宋"/>
          <w:sz w:val="32"/>
          <w:szCs w:val="32"/>
        </w:rPr>
        <w:t>63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总体目标：</w:t>
      </w:r>
      <w:r>
        <w:rPr>
          <w:rFonts w:hint="eastAsia" w:ascii="仿宋" w:hAnsi="仿宋" w:eastAsia="仿宋"/>
          <w:spacing w:val="3"/>
          <w:sz w:val="32"/>
        </w:rPr>
        <w:t>根据区委、区政府对干部队伍的建设要求，有计划的轮训和培训我区党员领导干部、国家公务员和意识形态部门的理论骨干。</w:t>
      </w:r>
      <w:r>
        <w:rPr>
          <w:rFonts w:hint="eastAsia" w:ascii="仿宋" w:hAnsi="仿宋" w:eastAsia="仿宋"/>
          <w:sz w:val="32"/>
          <w:szCs w:val="32"/>
        </w:rPr>
        <w:t>培训班次</w:t>
      </w:r>
      <w:r>
        <w:rPr>
          <w:rFonts w:ascii="仿宋" w:hAnsi="仿宋" w:eastAsia="仿宋"/>
          <w:sz w:val="32"/>
          <w:szCs w:val="32"/>
        </w:rPr>
        <w:t>19</w:t>
      </w:r>
      <w:r>
        <w:rPr>
          <w:rFonts w:hint="eastAsia" w:ascii="仿宋" w:hAnsi="仿宋" w:eastAsia="仿宋"/>
          <w:sz w:val="32"/>
          <w:szCs w:val="32"/>
        </w:rPr>
        <w:t>次，培训学员</w:t>
      </w:r>
      <w:r>
        <w:rPr>
          <w:rFonts w:ascii="仿宋" w:hAnsi="仿宋" w:eastAsia="仿宋"/>
          <w:sz w:val="32"/>
          <w:szCs w:val="32"/>
        </w:rPr>
        <w:t>1500</w:t>
      </w:r>
      <w:r>
        <w:rPr>
          <w:rFonts w:hint="eastAsia" w:ascii="仿宋" w:hAnsi="仿宋" w:eastAsia="仿宋"/>
          <w:sz w:val="32"/>
          <w:szCs w:val="32"/>
        </w:rPr>
        <w:t>人。</w:t>
      </w:r>
    </w:p>
    <w:p>
      <w:pPr>
        <w:ind w:firstLine="723" w:firstLineChars="200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第三部分</w:t>
      </w:r>
      <w:r>
        <w:rPr>
          <w:rFonts w:hint="eastAsia" w:ascii="黑体" w:hAnsi="黑体" w:eastAsia="黑体" w:cs="黑体"/>
          <w:b/>
          <w:sz w:val="36"/>
          <w:szCs w:val="36"/>
        </w:rPr>
        <w:t>、名词解释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1、一般公共服务支出</w:t>
      </w:r>
      <w:r>
        <w:rPr>
          <w:rFonts w:hint="eastAsia" w:ascii="仿宋" w:hAnsi="仿宋" w:eastAsia="仿宋"/>
          <w:sz w:val="32"/>
          <w:szCs w:val="32"/>
        </w:rPr>
        <w:t>：反映政府提供一般公共服务的支出。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2、商贸事务</w:t>
      </w:r>
      <w:r>
        <w:rPr>
          <w:rFonts w:hint="eastAsia" w:ascii="仿宋" w:hAnsi="仿宋" w:eastAsia="仿宋"/>
          <w:sz w:val="32"/>
          <w:szCs w:val="32"/>
        </w:rPr>
        <w:t>：反映商贸事务方面的支出。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3、行政运行</w:t>
      </w:r>
      <w:r>
        <w:rPr>
          <w:rFonts w:hint="eastAsia" w:ascii="仿宋" w:hAnsi="仿宋" w:eastAsia="仿宋"/>
          <w:sz w:val="32"/>
          <w:szCs w:val="32"/>
        </w:rPr>
        <w:t>：反映行政单位（包括实行公务员管理的事业单位）的基本支出。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4、抚恤</w:t>
      </w:r>
      <w:r>
        <w:rPr>
          <w:rFonts w:hint="eastAsia" w:ascii="仿宋" w:hAnsi="仿宋" w:eastAsia="仿宋"/>
          <w:sz w:val="32"/>
          <w:szCs w:val="32"/>
        </w:rPr>
        <w:t>：反映用于各类优抚对象和优抚事业单位的支出。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5、临时救助</w:t>
      </w:r>
      <w:r>
        <w:rPr>
          <w:rFonts w:hint="eastAsia" w:ascii="仿宋" w:hAnsi="仿宋" w:eastAsia="仿宋"/>
          <w:sz w:val="32"/>
          <w:szCs w:val="32"/>
        </w:rPr>
        <w:t>：反映城乡生活困难居民的临时救助等支出。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6、基本工资</w:t>
      </w:r>
      <w:r>
        <w:rPr>
          <w:rFonts w:hint="eastAsia" w:ascii="仿宋" w:hAnsi="仿宋" w:eastAsia="仿宋"/>
          <w:sz w:val="32"/>
          <w:szCs w:val="32"/>
        </w:rPr>
        <w:t>：反映按规定发放的基本工资，包括公务员的职务工资，级别工资。机关工人的岗位工资，技术等级工资。事业单位人员的岗位工资，薪级工资。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7、津贴补贴</w:t>
      </w:r>
      <w:r>
        <w:rPr>
          <w:rFonts w:hint="eastAsia" w:ascii="仿宋" w:hAnsi="仿宋" w:eastAsia="仿宋"/>
          <w:sz w:val="32"/>
          <w:szCs w:val="32"/>
        </w:rPr>
        <w:t>：反映经国家批准建立的机关事业单位艰苦边远地区津贴，机关工作人员地区附加津贴，机关工作人员岗位津贴，事业单位工作人员特殊岗位津贴补贴。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8、基本支出</w:t>
      </w:r>
      <w:r>
        <w:rPr>
          <w:rFonts w:hint="eastAsia" w:ascii="仿宋" w:hAnsi="仿宋" w:eastAsia="仿宋"/>
          <w:sz w:val="32"/>
          <w:szCs w:val="32"/>
        </w:rPr>
        <w:t>：指为保障机构正常运转，完成日常工作任务而发生的人员支出和公用支出。</w:t>
      </w:r>
    </w:p>
    <w:p>
      <w:pPr>
        <w:pStyle w:val="6"/>
        <w:ind w:firstLine="64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9、三公经费</w:t>
      </w:r>
      <w:r>
        <w:rPr>
          <w:rFonts w:hint="eastAsia" w:ascii="仿宋" w:hAnsi="仿宋" w:eastAsia="仿宋"/>
          <w:sz w:val="32"/>
          <w:szCs w:val="32"/>
        </w:rPr>
        <w:t>：纳入中央财政预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决算管理的三公经费是指用</w:t>
      </w:r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财政拨款</w:t>
      </w:r>
      <w:r>
        <w:rPr>
          <w:rFonts w:hint="eastAsia" w:ascii="仿宋" w:hAnsi="仿宋" w:eastAsia="仿宋"/>
          <w:sz w:val="32"/>
          <w:szCs w:val="32"/>
        </w:rPr>
        <w:t>安排的因公出国（境）费，公务用车购置及运行费和公务接待费，其中，因公出国（境）费反映单位公务出国（境）的国际旅费，国外城市间交通费，住宿费，伙食费，培训费，公杂费等支出，公务用车购置及运行费反映单位公务用车车辆购置支出（含车辆购置税）及租用费，燃料费，维修费，过路过桥费，保险费，安全奖励费用等支出，公务接待费反映单位按规定开支的各类公务接待（含外宾接待）支出。</w:t>
      </w:r>
    </w:p>
    <w:p>
      <w:pPr>
        <w:pStyle w:val="6"/>
        <w:ind w:firstLine="643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10、机关运行经费</w:t>
      </w:r>
      <w:r>
        <w:rPr>
          <w:rFonts w:hint="eastAsia" w:ascii="仿宋" w:hAnsi="仿宋" w:eastAsia="仿宋"/>
          <w:sz w:val="32"/>
          <w:szCs w:val="32"/>
        </w:rPr>
        <w:t>：为保障行政单位 运行用于购买货物和服务的各项资金，包括办公及印刷费用，邮电费，差旅费，会议费，福利费，日常维修费，专用材料及一般设备购置费，办公用房水电费，办公用房取暖费。办公用房物业管理费，公务用车运行维护费以及其他费用。</w:t>
      </w:r>
    </w:p>
    <w:p>
      <w:pPr>
        <w:pStyle w:val="6"/>
        <w:ind w:firstLine="643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default" w:ascii="黑体" w:hAnsi="黑体" w:eastAsia="黑体" w:cs="黑体"/>
          <w:b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848D14"/>
    <w:multiLevelType w:val="singleLevel"/>
    <w:tmpl w:val="A0848D14"/>
    <w:lvl w:ilvl="0" w:tentative="0">
      <w:start w:val="3"/>
      <w:numFmt w:val="chineseCounting"/>
      <w:suff w:val="nothing"/>
      <w:lvlText w:val="第%1部分、"/>
      <w:lvlJc w:val="left"/>
      <w:rPr>
        <w:rFonts w:hint="eastAsia"/>
      </w:rPr>
    </w:lvl>
  </w:abstractNum>
  <w:abstractNum w:abstractNumId="1">
    <w:nsid w:val="FF282637"/>
    <w:multiLevelType w:val="singleLevel"/>
    <w:tmpl w:val="FF28263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971E093"/>
    <w:multiLevelType w:val="singleLevel"/>
    <w:tmpl w:val="5971E093"/>
    <w:lvl w:ilvl="0" w:tentative="0">
      <w:start w:val="1"/>
      <w:numFmt w:val="chineseCounting"/>
      <w:suff w:val="nothing"/>
      <w:lvlText w:val="（%1）"/>
      <w:lvlJc w:val="left"/>
      <w:pPr>
        <w:ind w:firstLine="420"/>
      </w:pPr>
      <w:rPr>
        <w:rFonts w:hint="eastAsia" w:cs="Times New Roman"/>
      </w:rPr>
    </w:lvl>
  </w:abstractNum>
  <w:abstractNum w:abstractNumId="3">
    <w:nsid w:val="5971E2D2"/>
    <w:multiLevelType w:val="singleLevel"/>
    <w:tmpl w:val="5971E2D2"/>
    <w:lvl w:ilvl="0" w:tentative="0">
      <w:start w:val="1"/>
      <w:numFmt w:val="decimal"/>
      <w:suff w:val="nothing"/>
      <w:lvlText w:val="%1．"/>
      <w:lvlJc w:val="left"/>
      <w:pPr>
        <w:ind w:firstLine="400"/>
      </w:pPr>
      <w:rPr>
        <w:rFonts w:hint="default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15"/>
    <w:rsid w:val="00004DA5"/>
    <w:rsid w:val="00010008"/>
    <w:rsid w:val="0007221F"/>
    <w:rsid w:val="00074F8F"/>
    <w:rsid w:val="00084578"/>
    <w:rsid w:val="0008491B"/>
    <w:rsid w:val="0009635A"/>
    <w:rsid w:val="00096E69"/>
    <w:rsid w:val="000F0A84"/>
    <w:rsid w:val="0010079C"/>
    <w:rsid w:val="001213CF"/>
    <w:rsid w:val="00122B2B"/>
    <w:rsid w:val="00143498"/>
    <w:rsid w:val="001B35DE"/>
    <w:rsid w:val="00200A91"/>
    <w:rsid w:val="00262184"/>
    <w:rsid w:val="002922CF"/>
    <w:rsid w:val="002B0877"/>
    <w:rsid w:val="002C6A94"/>
    <w:rsid w:val="002D1AF9"/>
    <w:rsid w:val="002E2C55"/>
    <w:rsid w:val="002E39CC"/>
    <w:rsid w:val="002F112C"/>
    <w:rsid w:val="00333D27"/>
    <w:rsid w:val="00334209"/>
    <w:rsid w:val="004060B0"/>
    <w:rsid w:val="00427B39"/>
    <w:rsid w:val="00437ECD"/>
    <w:rsid w:val="004553B1"/>
    <w:rsid w:val="00472915"/>
    <w:rsid w:val="004E180B"/>
    <w:rsid w:val="00522816"/>
    <w:rsid w:val="0052507D"/>
    <w:rsid w:val="005253FB"/>
    <w:rsid w:val="00554465"/>
    <w:rsid w:val="005840E1"/>
    <w:rsid w:val="00591B3F"/>
    <w:rsid w:val="00591BC4"/>
    <w:rsid w:val="005B2DC1"/>
    <w:rsid w:val="005E52BE"/>
    <w:rsid w:val="00664F61"/>
    <w:rsid w:val="0067788D"/>
    <w:rsid w:val="007161BB"/>
    <w:rsid w:val="00716DBA"/>
    <w:rsid w:val="00731289"/>
    <w:rsid w:val="00774890"/>
    <w:rsid w:val="007A3DD5"/>
    <w:rsid w:val="00806A83"/>
    <w:rsid w:val="00831967"/>
    <w:rsid w:val="0086734E"/>
    <w:rsid w:val="008C2C01"/>
    <w:rsid w:val="00932CA7"/>
    <w:rsid w:val="009A527D"/>
    <w:rsid w:val="009B4AB0"/>
    <w:rsid w:val="009C31D2"/>
    <w:rsid w:val="009D1230"/>
    <w:rsid w:val="009D5CE3"/>
    <w:rsid w:val="009E16F1"/>
    <w:rsid w:val="00A11E1A"/>
    <w:rsid w:val="00A21CC3"/>
    <w:rsid w:val="00A3060B"/>
    <w:rsid w:val="00A76731"/>
    <w:rsid w:val="00A82BA6"/>
    <w:rsid w:val="00A9173C"/>
    <w:rsid w:val="00AB46DB"/>
    <w:rsid w:val="00B15329"/>
    <w:rsid w:val="00B15CB1"/>
    <w:rsid w:val="00B3011B"/>
    <w:rsid w:val="00B65AC9"/>
    <w:rsid w:val="00B71786"/>
    <w:rsid w:val="00B72276"/>
    <w:rsid w:val="00B86B2D"/>
    <w:rsid w:val="00BB6A10"/>
    <w:rsid w:val="00BD2D43"/>
    <w:rsid w:val="00BE7DEA"/>
    <w:rsid w:val="00C3620C"/>
    <w:rsid w:val="00C71871"/>
    <w:rsid w:val="00C92CDD"/>
    <w:rsid w:val="00C97651"/>
    <w:rsid w:val="00CA589D"/>
    <w:rsid w:val="00D03C4C"/>
    <w:rsid w:val="00D044C0"/>
    <w:rsid w:val="00D23012"/>
    <w:rsid w:val="00D24FE0"/>
    <w:rsid w:val="00D44117"/>
    <w:rsid w:val="00D96DDD"/>
    <w:rsid w:val="00DA3809"/>
    <w:rsid w:val="00DB2F91"/>
    <w:rsid w:val="00DE01D7"/>
    <w:rsid w:val="00DF7946"/>
    <w:rsid w:val="00E17B10"/>
    <w:rsid w:val="00E70A2F"/>
    <w:rsid w:val="00E71384"/>
    <w:rsid w:val="00E71990"/>
    <w:rsid w:val="00E90D1B"/>
    <w:rsid w:val="00EB10D4"/>
    <w:rsid w:val="00EB3396"/>
    <w:rsid w:val="00EC0863"/>
    <w:rsid w:val="00F54F4A"/>
    <w:rsid w:val="00F91D8A"/>
    <w:rsid w:val="00FB1471"/>
    <w:rsid w:val="00FC1240"/>
    <w:rsid w:val="00FD156C"/>
    <w:rsid w:val="02184FBA"/>
    <w:rsid w:val="07D85FA7"/>
    <w:rsid w:val="083129FC"/>
    <w:rsid w:val="09AA729F"/>
    <w:rsid w:val="0CC15E1E"/>
    <w:rsid w:val="0E8202EF"/>
    <w:rsid w:val="10550D68"/>
    <w:rsid w:val="156329F2"/>
    <w:rsid w:val="17F9321A"/>
    <w:rsid w:val="1ABB1A0C"/>
    <w:rsid w:val="1CC1028A"/>
    <w:rsid w:val="1EE13A27"/>
    <w:rsid w:val="2090500F"/>
    <w:rsid w:val="245B3616"/>
    <w:rsid w:val="248717E0"/>
    <w:rsid w:val="24E525AF"/>
    <w:rsid w:val="2525365E"/>
    <w:rsid w:val="28626E74"/>
    <w:rsid w:val="33E651B8"/>
    <w:rsid w:val="35790B86"/>
    <w:rsid w:val="49FF43EB"/>
    <w:rsid w:val="4BA74DC4"/>
    <w:rsid w:val="4BBA51D2"/>
    <w:rsid w:val="4D7C26E3"/>
    <w:rsid w:val="4DBA6B57"/>
    <w:rsid w:val="4E266173"/>
    <w:rsid w:val="4F2B3A83"/>
    <w:rsid w:val="5AE7459F"/>
    <w:rsid w:val="6E3043F4"/>
    <w:rsid w:val="77FE43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CE9AF9-691A-445A-BC11-F65249A18D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373</Words>
  <Characters>2128</Characters>
  <Lines>17</Lines>
  <Paragraphs>4</Paragraphs>
  <TotalTime>5</TotalTime>
  <ScaleCrop>false</ScaleCrop>
  <LinksUpToDate>false</LinksUpToDate>
  <CharactersWithSpaces>2497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2017-12-25T08:00:00Z</dcterms:created>
  <dc:creator>微软用户</dc:creator>
  <cp:lastModifiedBy>风轻扬</cp:lastModifiedBy>
  <cp:lastPrinted>2020-07-21T01:49:00Z</cp:lastPrinted>
  <dcterms:modified xsi:type="dcterms:W3CDTF">2022-03-03T02:00:30Z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79DE3EF25CD44A5E8E691883FC9BB99A</vt:lpwstr>
  </property>
</Properties>
</file>