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黑体"/>
          <w:b/>
          <w:sz w:val="52"/>
          <w:szCs w:val="52"/>
          <w:lang w:eastAsia="zh-CN"/>
        </w:rPr>
      </w:pPr>
      <w:r>
        <w:rPr>
          <w:rFonts w:hint="eastAsia" w:ascii="仿宋" w:hAnsi="仿宋" w:eastAsia="仿宋" w:cs="隶书"/>
          <w:b/>
          <w:sz w:val="52"/>
          <w:szCs w:val="52"/>
          <w:lang w:val="en-US" w:eastAsia="zh-CN"/>
        </w:rPr>
        <w:t>中共信阳市浉河区委机构编制委员会办公室</w:t>
      </w:r>
      <w:bookmarkStart w:id="0" w:name="_GoBack"/>
      <w:bookmarkEnd w:id="0"/>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w:t>
      </w:r>
      <w:r>
        <w:rPr>
          <w:rFonts w:hint="eastAsia" w:ascii="仿宋" w:hAnsi="仿宋" w:eastAsia="仿宋" w:cs="隶书"/>
          <w:b/>
          <w:sz w:val="52"/>
          <w:szCs w:val="52"/>
          <w:lang w:val="en-US" w:eastAsia="zh-CN"/>
        </w:rPr>
        <w:t>1</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w:t>
      </w:r>
      <w:r>
        <w:rPr>
          <w:rFonts w:hint="eastAsia" w:ascii="仿宋" w:hAnsi="仿宋" w:eastAsia="仿宋" w:cs="黑体"/>
          <w:sz w:val="32"/>
          <w:szCs w:val="32"/>
          <w:lang w:eastAsia="zh-CN"/>
        </w:rPr>
        <w:t>、</w:t>
      </w:r>
      <w:r>
        <w:rPr>
          <w:rFonts w:hint="eastAsia" w:ascii="仿宋" w:hAnsi="仿宋" w:eastAsia="仿宋" w:cs="黑体"/>
          <w:sz w:val="32"/>
          <w:szCs w:val="32"/>
          <w:lang w:val="en-US" w:eastAsia="zh-CN"/>
        </w:rPr>
        <w:t>中共信阳市浉河区委机构编制委员会办公室</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部门预算单位构成及机构设置</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eastAsia="zh-CN"/>
        </w:rPr>
        <w:t>二</w:t>
      </w:r>
      <w:r>
        <w:rPr>
          <w:rFonts w:hint="eastAsia" w:ascii="仿宋" w:hAnsi="仿宋" w:eastAsia="仿宋" w:cs="黑体"/>
          <w:sz w:val="32"/>
          <w:szCs w:val="32"/>
        </w:rPr>
        <w:t>部分</w:t>
      </w:r>
      <w:r>
        <w:rPr>
          <w:rFonts w:hint="eastAsia" w:ascii="仿宋" w:hAnsi="仿宋" w:eastAsia="仿宋" w:cs="黑体"/>
          <w:sz w:val="32"/>
          <w:szCs w:val="32"/>
          <w:lang w:eastAsia="zh-CN"/>
        </w:rPr>
        <w:t>、</w:t>
      </w:r>
      <w:r>
        <w:rPr>
          <w:rFonts w:hint="eastAsia" w:ascii="仿宋" w:hAnsi="仿宋" w:eastAsia="仿宋" w:cs="黑体"/>
          <w:sz w:val="32"/>
          <w:szCs w:val="32"/>
          <w:lang w:val="en-US" w:eastAsia="zh-CN"/>
        </w:rPr>
        <w:t>中共信阳市浉河区委机构编制委员会办公室</w:t>
      </w:r>
      <w:r>
        <w:rPr>
          <w:rFonts w:hint="eastAsia" w:ascii="仿宋" w:hAnsi="仿宋" w:eastAsia="仿宋" w:cs="黑体"/>
          <w:sz w:val="32"/>
          <w:szCs w:val="32"/>
        </w:rPr>
        <w:t>202</w:t>
      </w:r>
      <w:r>
        <w:rPr>
          <w:rFonts w:hint="eastAsia" w:ascii="仿宋" w:hAnsi="仿宋" w:eastAsia="仿宋" w:cs="黑体"/>
          <w:sz w:val="32"/>
          <w:szCs w:val="32"/>
          <w:lang w:val="en-US" w:eastAsia="zh-CN"/>
        </w:rPr>
        <w:t>1</w:t>
      </w:r>
      <w:r>
        <w:rPr>
          <w:rFonts w:hint="eastAsia" w:ascii="仿宋" w:hAnsi="仿宋" w:eastAsia="仿宋" w:cs="黑体"/>
          <w:sz w:val="32"/>
          <w:szCs w:val="32"/>
        </w:rPr>
        <w:t>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eastAsia="zh-CN"/>
        </w:rPr>
        <w:t>三</w:t>
      </w:r>
      <w:r>
        <w:rPr>
          <w:rFonts w:hint="eastAsia" w:ascii="仿宋" w:hAnsi="仿宋" w:eastAsia="仿宋" w:cs="黑体"/>
          <w:sz w:val="32"/>
          <w:szCs w:val="32"/>
        </w:rPr>
        <w:t>部分</w:t>
      </w:r>
      <w:r>
        <w:rPr>
          <w:rFonts w:hint="eastAsia" w:ascii="仿宋" w:hAnsi="仿宋" w:eastAsia="仿宋" w:cs="黑体"/>
          <w:sz w:val="32"/>
          <w:szCs w:val="32"/>
          <w:lang w:eastAsia="zh-CN"/>
        </w:rPr>
        <w:t>、</w:t>
      </w:r>
      <w:r>
        <w:rPr>
          <w:rFonts w:hint="eastAsia" w:ascii="仿宋" w:hAnsi="仿宋" w:eastAsia="仿宋" w:cs="黑体"/>
          <w:sz w:val="32"/>
          <w:szCs w:val="32"/>
        </w:rPr>
        <w:t>名词解释</w:t>
      </w:r>
    </w:p>
    <w:p>
      <w:pPr>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附  件、2021年度部门预算公开表</w:t>
      </w:r>
    </w:p>
    <w:p>
      <w:pPr>
        <w:numPr>
          <w:ilvl w:val="0"/>
          <w:numId w:val="0"/>
        </w:numPr>
        <w:jc w:val="left"/>
        <w:rPr>
          <w:rFonts w:hint="eastAsia" w:ascii="仿宋" w:hAnsi="仿宋" w:eastAsia="仿宋" w:cs="宋体"/>
          <w:sz w:val="32"/>
          <w:szCs w:val="32"/>
        </w:rPr>
      </w:pPr>
      <w:r>
        <w:rPr>
          <w:rFonts w:hint="eastAsia" w:ascii="仿宋" w:hAnsi="仿宋" w:eastAsia="仿宋" w:cs="宋体"/>
          <w:sz w:val="32"/>
          <w:szCs w:val="32"/>
          <w:lang w:val="en-US" w:eastAsia="zh-CN"/>
        </w:rPr>
        <w:t>一</w:t>
      </w:r>
      <w:r>
        <w:rPr>
          <w:rFonts w:hint="eastAsia" w:ascii="仿宋" w:hAnsi="仿宋" w:eastAsia="仿宋" w:cs="宋体"/>
          <w:sz w:val="32"/>
          <w:szCs w:val="32"/>
        </w:rPr>
        <w:t>、部门收支总体情况表</w:t>
      </w:r>
    </w:p>
    <w:p>
      <w:pPr>
        <w:numPr>
          <w:ilvl w:val="0"/>
          <w:numId w:val="0"/>
        </w:numPr>
        <w:jc w:val="left"/>
        <w:rPr>
          <w:rFonts w:hint="eastAsia" w:ascii="仿宋" w:hAnsi="仿宋" w:eastAsia="仿宋" w:cs="宋体"/>
          <w:sz w:val="32"/>
          <w:szCs w:val="32"/>
        </w:rPr>
      </w:pPr>
      <w:r>
        <w:rPr>
          <w:rFonts w:hint="eastAsia" w:ascii="仿宋" w:hAnsi="仿宋" w:eastAsia="仿宋" w:cs="宋体"/>
          <w:sz w:val="32"/>
          <w:szCs w:val="32"/>
          <w:lang w:val="en-US" w:eastAsia="zh-CN"/>
        </w:rPr>
        <w:t>二</w:t>
      </w:r>
      <w:r>
        <w:rPr>
          <w:rFonts w:hint="eastAsia" w:ascii="仿宋" w:hAnsi="仿宋" w:eastAsia="仿宋" w:cs="宋体"/>
          <w:sz w:val="32"/>
          <w:szCs w:val="32"/>
        </w:rPr>
        <w:t>、部门收入总体情况表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部门支出总体情况表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财政拨款收支总体情况表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一般公共预算支出情况表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一般公共预算基本支出情况表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一般公共预算“三公”经费支出情况表</w:t>
      </w:r>
    </w:p>
    <w:p>
      <w:pPr>
        <w:numPr>
          <w:ilvl w:val="0"/>
          <w:numId w:val="1"/>
        </w:numPr>
        <w:jc w:val="left"/>
        <w:rPr>
          <w:rFonts w:hint="eastAsia" w:ascii="仿宋" w:hAnsi="仿宋" w:eastAsia="仿宋" w:cs="宋体"/>
          <w:sz w:val="32"/>
          <w:szCs w:val="32"/>
          <w:lang w:eastAsia="zh-CN"/>
        </w:rPr>
      </w:pPr>
      <w:r>
        <w:rPr>
          <w:rFonts w:hint="eastAsia" w:ascii="仿宋" w:hAnsi="仿宋" w:eastAsia="仿宋" w:cs="宋体"/>
          <w:sz w:val="32"/>
          <w:szCs w:val="32"/>
        </w:rPr>
        <w:t>政府性基金预算支出情况</w:t>
      </w:r>
      <w:r>
        <w:rPr>
          <w:rFonts w:hint="eastAsia" w:ascii="仿宋" w:hAnsi="仿宋" w:eastAsia="仿宋" w:cs="宋体"/>
          <w:sz w:val="32"/>
          <w:szCs w:val="32"/>
          <w:lang w:eastAsia="zh-CN"/>
        </w:rPr>
        <w:t>表</w:t>
      </w:r>
    </w:p>
    <w:p>
      <w:pPr>
        <w:pStyle w:val="2"/>
        <w:numPr>
          <w:ilvl w:val="0"/>
          <w:numId w:val="1"/>
        </w:numPr>
        <w:ind w:left="0" w:leftChars="0" w:firstLine="0" w:firstLineChars="0"/>
        <w:rPr>
          <w:rFonts w:hint="eastAsia" w:ascii="仿宋" w:hAnsi="仿宋" w:eastAsia="仿宋" w:cs="宋体"/>
          <w:sz w:val="32"/>
          <w:szCs w:val="32"/>
          <w:lang w:eastAsia="zh-CN"/>
        </w:rPr>
      </w:pPr>
      <w:r>
        <w:rPr>
          <w:rFonts w:hint="eastAsia" w:ascii="仿宋" w:hAnsi="仿宋" w:eastAsia="仿宋" w:cs="宋体"/>
          <w:sz w:val="32"/>
          <w:szCs w:val="32"/>
          <w:lang w:eastAsia="zh-CN"/>
        </w:rPr>
        <w:t>部门（单位）整体绩效目标表</w:t>
      </w:r>
    </w:p>
    <w:p>
      <w:pPr>
        <w:pStyle w:val="2"/>
        <w:widowControl w:val="0"/>
        <w:numPr>
          <w:ilvl w:val="0"/>
          <w:numId w:val="0"/>
        </w:numPr>
        <w:jc w:val="both"/>
        <w:rPr>
          <w:rFonts w:hint="eastAsia" w:ascii="仿宋" w:hAnsi="仿宋" w:eastAsia="仿宋" w:cs="宋体"/>
          <w:sz w:val="32"/>
          <w:szCs w:val="32"/>
          <w:lang w:eastAsia="zh-CN"/>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宋体"/>
          <w:sz w:val="32"/>
          <w:szCs w:val="32"/>
          <w:lang w:eastAsia="zh-CN"/>
        </w:rPr>
        <w:t>十、部门预算项目绩效目标表</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val="en-US" w:eastAsia="zh-CN"/>
        </w:rPr>
        <w:t>中共信阳市浉河区委机构编制委员会办公室</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4"/>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kern w:val="0"/>
          <w:sz w:val="32"/>
        </w:rPr>
        <w:t xml:space="preserve"> 区委机构编制委员会办公室（</w:t>
      </w:r>
      <w:r>
        <w:rPr>
          <w:rFonts w:hint="eastAsia" w:ascii="仿宋_GB2312" w:hAnsi="仿宋_GB2312" w:eastAsia="仿宋_GB2312" w:cs="仿宋_GB2312"/>
          <w:sz w:val="32"/>
        </w:rPr>
        <w:t>区事业单位登记管理局</w:t>
      </w:r>
      <w:r>
        <w:rPr>
          <w:rFonts w:hint="eastAsia" w:ascii="仿宋_GB2312" w:hAnsi="仿宋_GB2312" w:eastAsia="仿宋_GB2312" w:cs="仿宋_GB2312"/>
          <w:kern w:val="0"/>
          <w:sz w:val="32"/>
        </w:rPr>
        <w:t>）设5个内设机构。</w:t>
      </w:r>
      <w:r>
        <w:rPr>
          <w:rFonts w:hint="eastAsia" w:ascii="仿宋_GB2312" w:hAnsi="仿宋_GB2312" w:eastAsia="仿宋_GB2312" w:cs="仿宋_GB2312"/>
          <w:sz w:val="32"/>
        </w:rPr>
        <w:t xml:space="preserve">（一）综合股 （二）行政体制改革股（政策法规研究室）（三）机构编制管理股 （四）事业单位登记管理股(五)机构编制监督检查股  </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1、贯彻落实加强党对机构编制工作集中统一领导的要求，执行党和国家有关行政管理体制改革、机构改革和机构编制管理的方针政策、法律法规；拟订机构编制管理相关政策规定，推进机构编制法定化。</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2、负责区行政体制改革、事业单位分类改革、经济功能区管理体制改革和相关领域涉及机构改革的重大事项；负责经济发达镇行政管理体制改革试点工作；协调有关专项改革事宜。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3、拟订全区行政体制改革和机构改革的总体方案，经批准后组织实施；审核区委、区政府各部门机构改革方案。</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4、统一管理全区各级党政机关，人大、政协机关，各民主党派、人民团体机关以及全区事业单位的机构编制工作。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5、协调区委各部门之间、区政府各部门之间的职责配置及调整，协调区委各部门与区政府各部门之间以及区级党政部门与乡、镇、办事处之间的职责分工。</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6、审核区委、区政府各部门,区人大、政协机关，民主党派、人民团体机关的职能配置、内设机构、人员编制和领导职数;审核各部门机关股级机构设置和调整事宜；配合做好区法院、检察院的机构编制管理工作。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7、拟订全区事业单位管理体制改革和机构改革方案，经批准后组织实施；负责区直事业单位机构改革方案的审核和机构编制管理工作；审核全区股级事业单位机构设置和调整事宜。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8、负责区级党政群机关统一社会信用代码赋码管理工作；负责区级事业单位法人登记管理和监督检查工作。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9、负责对全区各级行政、事业单位管理体制和机构改革情况及机构编制执行情况进行跟踪评估和监督检查；负责受理违反机构编制法律、法规、纪律的检举、控告和投诉，对有关问题进行调查处理。</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10、建立健全机构编制管理与财政预算、组织人事管理的配合制约机制；推进机构编制实名制管理，负责区直机关事业单位进人编制审核工作；负责全区机构编制统计工作。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11、完成区委、区政府和区委编委交办的其他任务。</w:t>
      </w:r>
    </w:p>
    <w:p>
      <w:pPr>
        <w:ind w:firstLine="640" w:firstLineChars="200"/>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核定区委机构编制委员会办公室（区事业单位登记管理局）机关行政编制8名，其中主任1名，副主任3名。</w:t>
      </w:r>
      <w:r>
        <w:rPr>
          <w:rFonts w:hint="eastAsia" w:ascii="仿宋_GB2312" w:hAnsi="仿宋_GB2312" w:eastAsia="仿宋_GB2312" w:cs="仿宋_GB2312"/>
          <w:sz w:val="32"/>
          <w:szCs w:val="32"/>
        </w:rPr>
        <w:t>共有编制人数</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人，其中：行政编制8人，事业编制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人。实有人数</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人，其中：在职人员 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人，离休人员 0人，退休人员 2人。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二、部门预算单位构成及机构设置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（一）纳入</w:t>
      </w:r>
      <w:r>
        <w:rPr>
          <w:rFonts w:hint="eastAsia" w:ascii="仿宋_GB2312" w:hAnsi="仿宋_GB2312" w:eastAsia="仿宋_GB2312" w:cs="仿宋_GB2312"/>
          <w:sz w:val="32"/>
          <w:szCs w:val="32"/>
          <w:lang w:eastAsia="zh-CN"/>
        </w:rPr>
        <w:t>中共信阳市浉河区委机构编制委员会办公室</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w:t>
      </w:r>
      <w:r>
        <w:rPr>
          <w:rFonts w:hint="eastAsia" w:ascii="仿宋_GB2312" w:hAnsi="仿宋_GB2312" w:eastAsia="仿宋_GB2312" w:cs="仿宋_GB2312"/>
          <w:sz w:val="32"/>
          <w:szCs w:val="32"/>
          <w:lang w:val="en-US" w:eastAsia="zh-CN"/>
        </w:rPr>
        <w:t>预</w:t>
      </w:r>
      <w:r>
        <w:rPr>
          <w:rFonts w:hint="eastAsia" w:ascii="仿宋_GB2312" w:hAnsi="仿宋_GB2312" w:eastAsia="仿宋_GB2312" w:cs="仿宋_GB2312"/>
          <w:sz w:val="32"/>
          <w:szCs w:val="32"/>
        </w:rPr>
        <w:t>算编制范围的单位包括：</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中共信阳市浉河区委机构编制委员会办公室机关</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浉河区机构编制</w:t>
      </w:r>
      <w:r>
        <w:rPr>
          <w:rFonts w:ascii="仿宋_GB2312" w:hAnsi="仿宋_GB2312" w:eastAsia="仿宋_GB2312" w:cs="仿宋_GB2312"/>
          <w:sz w:val="32"/>
          <w:szCs w:val="32"/>
        </w:rPr>
        <w:t>电子政务</w:t>
      </w:r>
      <w:r>
        <w:rPr>
          <w:rFonts w:hint="eastAsia" w:ascii="仿宋_GB2312" w:hAnsi="仿宋_GB2312" w:eastAsia="仿宋_GB2312" w:cs="仿宋_GB2312"/>
          <w:sz w:val="32"/>
          <w:szCs w:val="32"/>
        </w:rPr>
        <w:t>中心</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浉河区事业单位登记</w:t>
      </w:r>
      <w:r>
        <w:rPr>
          <w:rFonts w:ascii="仿宋_GB2312" w:hAnsi="仿宋_GB2312" w:eastAsia="仿宋_GB2312" w:cs="仿宋_GB2312"/>
          <w:sz w:val="32"/>
          <w:szCs w:val="32"/>
        </w:rPr>
        <w:t>管理中心</w:t>
      </w:r>
    </w:p>
    <w:p>
      <w:pPr>
        <w:spacing w:line="360" w:lineRule="auto"/>
        <w:jc w:val="left"/>
        <w:rPr>
          <w:rFonts w:ascii="仿宋_GB2312" w:hAnsi="仿宋_GB2312" w:eastAsia="仿宋_GB2312" w:cs="仿宋_GB2312"/>
          <w:sz w:val="32"/>
          <w:szCs w:val="32"/>
        </w:rPr>
      </w:pPr>
    </w:p>
    <w:p>
      <w:pPr>
        <w:ind w:firstLine="640" w:firstLineChars="200"/>
        <w:jc w:val="left"/>
        <w:rPr>
          <w:rFonts w:ascii="宋体" w:hAnsi="宋体" w:cs="宋体"/>
          <w:kern w:val="0"/>
          <w:sz w:val="32"/>
          <w:szCs w:val="32"/>
        </w:rPr>
      </w:pPr>
      <w:r>
        <w:rPr>
          <w:rFonts w:hint="eastAsia" w:ascii="仿宋_GB2312" w:hAnsi="仿宋_GB2312" w:eastAsia="仿宋_GB2312" w:cs="仿宋_GB2312"/>
          <w:sz w:val="32"/>
          <w:szCs w:val="32"/>
        </w:rPr>
        <w:t>（二）</w:t>
      </w:r>
      <w:r>
        <w:rPr>
          <w:rFonts w:hint="eastAsia" w:ascii="宋体" w:hAnsi="宋体" w:cs="宋体"/>
          <w:kern w:val="0"/>
          <w:sz w:val="32"/>
          <w:szCs w:val="32"/>
        </w:rPr>
        <w:t>机构设置</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区委机构编制委员会办公室（</w:t>
      </w:r>
      <w:r>
        <w:rPr>
          <w:rFonts w:hint="eastAsia" w:ascii="仿宋_GB2312" w:hAnsi="Times New Roman" w:eastAsia="仿宋_GB2312"/>
          <w:sz w:val="32"/>
        </w:rPr>
        <w:t>区</w:t>
      </w:r>
      <w:r>
        <w:rPr>
          <w:rFonts w:hint="eastAsia" w:ascii="仿宋_GB2312" w:hAnsi="仿宋_GB2312" w:eastAsia="仿宋_GB2312"/>
          <w:sz w:val="32"/>
        </w:rPr>
        <w:t>事业单位登记管理局</w:t>
      </w:r>
      <w:r>
        <w:rPr>
          <w:rFonts w:hint="eastAsia" w:ascii="仿宋_GB2312" w:hAnsi="宋体" w:eastAsia="仿宋_GB2312"/>
          <w:sz w:val="32"/>
        </w:rPr>
        <w:t>）设4个内设机构，</w:t>
      </w:r>
      <w:r>
        <w:rPr>
          <w:rFonts w:ascii="仿宋_GB2312" w:hAnsi="宋体" w:eastAsia="仿宋_GB2312"/>
          <w:sz w:val="32"/>
        </w:rPr>
        <w:t>即</w:t>
      </w:r>
      <w:r>
        <w:rPr>
          <w:rFonts w:hint="eastAsia" w:ascii="仿宋_GB2312" w:hAnsi="宋体" w:eastAsia="仿宋_GB2312"/>
          <w:sz w:val="32"/>
        </w:rPr>
        <w:t>综合股、机构编制管理股、机构编制监督检查股、行政管理体制改革股。下属</w:t>
      </w:r>
      <w:r>
        <w:rPr>
          <w:rFonts w:ascii="仿宋_GB2312" w:hAnsi="宋体" w:eastAsia="仿宋_GB2312"/>
          <w:sz w:val="32"/>
        </w:rPr>
        <w:t>事业单位两个，</w:t>
      </w:r>
      <w:r>
        <w:rPr>
          <w:rFonts w:hint="eastAsia" w:ascii="仿宋_GB2312" w:hAnsi="宋体" w:eastAsia="仿宋_GB2312"/>
          <w:sz w:val="32"/>
        </w:rPr>
        <w:t>即</w:t>
      </w:r>
      <w:r>
        <w:rPr>
          <w:rFonts w:ascii="仿宋_GB2312" w:hAnsi="宋体" w:eastAsia="仿宋_GB2312"/>
          <w:sz w:val="32"/>
        </w:rPr>
        <w:t>电子政务中心、事业单位登记管理中心。</w:t>
      </w:r>
    </w:p>
    <w:p>
      <w:pPr>
        <w:pStyle w:val="14"/>
        <w:numPr>
          <w:ilvl w:val="0"/>
          <w:numId w:val="4"/>
        </w:numPr>
        <w:snapToGrid w:val="0"/>
        <w:spacing w:line="600" w:lineRule="exact"/>
        <w:ind w:firstLineChars="0"/>
        <w:rPr>
          <w:rFonts w:ascii="楷体_GB2312" w:hAnsi="楷体_GB2312" w:eastAsia="楷体_GB2312"/>
          <w:b/>
          <w:sz w:val="32"/>
        </w:rPr>
      </w:pPr>
      <w:r>
        <w:rPr>
          <w:rFonts w:hint="eastAsia" w:ascii="楷体_GB2312" w:hAnsi="楷体_GB2312" w:eastAsia="楷体_GB2312"/>
          <w:b/>
          <w:sz w:val="32"/>
        </w:rPr>
        <w:t>综合股</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协助办领导处理日常工作，负责综合协调和督办工作；负责文电、会务、机要、保密、档案等机关日常工作；负责综合性文稿起草、公文核稿、信息宣传等工作；负责财务管理、后勤服务和固定资产管理等工作。负责机关和直属单位的党群、纪检监察、精神文明建设等工作。负责机关和所属单位干部人事、机构编制、工资福利、教育培训、队伍建设、离退休人员管理服务等工作。</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 xml:space="preserve">（二）行政体制改革股（政策法规研究室） </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研究全区行政体制改革、机构改革、事业单位分类改革和相关领域涉及行政体制改革的重大问题；参与机构改革方案拟订及组织实施方面的有关工作；组织开展机构编制管理创新试点；参与行政体制改革的相关工作；负责全区各类管理区（开发区）、产业集聚区等经济功能区的行政管理体制改革；负责经济发达镇行政管理体制改革试点工作，跟踪了解改革进展情况并提出对策建议,研究提出推动经济发达镇加快发展的政策措施；配合有关部门做好行政审批制度改革和权责清单管理等工作。研究拟订全区事业单位改革的具体政策；按照分类推进事业单位改革、行业体制改革的要求和进程，创新和完善事业单位机构编制管理，承办改革涉及的机构编制调整具体事项；组织区各部门分类推进事业单位改革工作；跟踪改革进展情况。承担有关规范性文件合法性审核和清理工作；负责部分重要综合性文稿的起草；负责人大代表建议、政协委员提案的办理工作；负责机构编制管理法律法规、政策规定的宣传工作；围绕重点工作开展全局性、长远性研究和专题调研。</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（三）机构编制管理股</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负责全区党委、人大、政府、政协机关，各民主党派、人民团体机关机构改革意见研究、“三定”规定审核和机构编制管理工作；负责全区事业单位机构编制总量控制和动态调整工作；审核区委、区政府直属事业单位的机构编制方案；跟踪了解所联系部门“三定”规定落实情况，承担有关“三定”规定的具体解释工作；负责区直机关事业单位军队转业干部编制和领导职数的审核管理工作；研究协调区委、区政府各部门及各民主党派、人民团体机关的职责分工与职能调整；负责研究协调区直党政群机关与乡、镇、办事处的职责分工与职能调整；负责参照公务员法管理事业单位职责的审核工作；负责区委、区政府议事协调机构办事机构设立或调整的审核工作；审核全区股级行政机构、事业机构的设置和调整；承担行政编制跨层级调整审核和申报工作；负责全区机关事业单位进人和全区统一考试录用公务员、公开招聘事业单位工作人员编制审核工作。</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（四）事业单位登记管理股</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贯彻执行上级有关事业单位登记管理的法规、规章、政策；负责全区单位党政群机关统一社会信用代码赋码管理工作；负责全区事业单位法人登记管理和监督检查工作，依法处理违法行为。</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（五）机构编制监督检查股。</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负责监督检查全区各级各部门贯彻执行机构编制法律法规和政策规定的情况；负责受理违反机构编制法律法规、政策、纪律的检举和投诉，负责机构编制“12310”举报受理及调查核实工作；负责开展机构编制违规违纪行为预防教育；组织实施机构编制审计工作；建立健全机构编制监督检查工作规章制度；负责机构编制监督检查工作与纪检监察、组织、人社、财政、审计等部门间的协作配合。</w:t>
      </w:r>
    </w:p>
    <w:p>
      <w:pPr>
        <w:spacing w:line="600" w:lineRule="exact"/>
        <w:ind w:firstLine="640"/>
        <w:rPr>
          <w:rFonts w:ascii="仿宋_GB2312" w:hAnsi="仿宋_GB2312" w:eastAsia="仿宋_GB2312"/>
          <w:sz w:val="32"/>
        </w:rPr>
      </w:pPr>
      <w:r>
        <w:rPr>
          <w:rFonts w:hint="eastAsia" w:ascii="黑体" w:hAnsi="黑体" w:eastAsia="黑体"/>
          <w:sz w:val="32"/>
        </w:rPr>
        <w:t>（五）下属事业单位</w:t>
      </w:r>
    </w:p>
    <w:p>
      <w:pPr>
        <w:spacing w:line="600" w:lineRule="exact"/>
        <w:ind w:firstLine="640"/>
        <w:rPr>
          <w:rFonts w:ascii="仿宋" w:hAnsi="仿宋" w:eastAsia="仿宋" w:cs="仿宋"/>
          <w:sz w:val="32"/>
        </w:rPr>
      </w:pPr>
      <w:r>
        <w:rPr>
          <w:rFonts w:hint="eastAsia" w:ascii="仿宋_GB2312" w:hAnsi="仿宋_GB2312" w:eastAsia="仿宋_GB2312"/>
          <w:sz w:val="32"/>
        </w:rPr>
        <w:t>1．</w:t>
      </w:r>
      <w:r>
        <w:rPr>
          <w:rFonts w:hint="eastAsia" w:ascii="仿宋" w:hAnsi="仿宋" w:eastAsia="仿宋" w:cs="仿宋"/>
          <w:sz w:val="32"/>
        </w:rPr>
        <w:t>浉河区事业单位登记管理中心，</w:t>
      </w:r>
      <w:r>
        <w:rPr>
          <w:rFonts w:hint="eastAsia" w:ascii="仿宋_GB2312" w:hAnsi="仿宋_GB2312" w:eastAsia="仿宋_GB2312"/>
          <w:spacing w:val="-4"/>
          <w:sz w:val="32"/>
        </w:rPr>
        <w:t>依据《事业单位登记管理暂行条例》，负责全区各类事业单位的登记管理工作。</w:t>
      </w:r>
    </w:p>
    <w:p>
      <w:pPr>
        <w:spacing w:line="600" w:lineRule="exact"/>
        <w:ind w:firstLine="640"/>
        <w:rPr>
          <w:rFonts w:ascii="仿宋_GB2312" w:hAnsi="仿宋_GB2312" w:eastAsia="仿宋_GB2312"/>
          <w:sz w:val="32"/>
        </w:rPr>
      </w:pPr>
      <w:r>
        <w:rPr>
          <w:rFonts w:hint="eastAsia" w:ascii="仿宋" w:hAnsi="仿宋" w:eastAsia="仿宋" w:cs="仿宋"/>
          <w:sz w:val="32"/>
        </w:rPr>
        <w:t>2.信阳市浉河区机构编制电子政务中心，承担中央编办、省编办和市编办委托的全区政务和公益专用中文域名的注册和管理，具体承办全区机构编制实名制动态管理及机构</w:t>
      </w:r>
      <w:r>
        <w:rPr>
          <w:rFonts w:hint="eastAsia" w:ascii="仿宋_GB2312" w:hAnsi="仿宋_GB2312" w:eastAsia="仿宋_GB2312"/>
          <w:sz w:val="32"/>
        </w:rPr>
        <w:t>编制统计、全区行政事业单位统发工资中的编制审核工作，负责机关门户网站建设、政务信息公开、电子政务和信息化建设等日常工作。</w:t>
      </w:r>
    </w:p>
    <w:p>
      <w:pPr>
        <w:spacing w:before="240" w:line="360" w:lineRule="auto"/>
        <w:jc w:val="left"/>
        <w:rPr>
          <w:rFonts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中共信阳市浉河区委机构编制委员会办公室</w:t>
      </w:r>
    </w:p>
    <w:p>
      <w:pPr>
        <w:jc w:val="center"/>
        <w:rPr>
          <w:rFonts w:ascii="仿宋" w:hAnsi="仿宋" w:eastAsia="仿宋" w:cs="隶书"/>
          <w:sz w:val="48"/>
          <w:szCs w:val="48"/>
        </w:rPr>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rPr>
        <w:t>2</w:t>
      </w:r>
      <w:r>
        <w:rPr>
          <w:rFonts w:hint="eastAsia" w:ascii="仿宋" w:hAnsi="仿宋" w:eastAsia="仿宋" w:cs="隶书"/>
          <w:sz w:val="48"/>
          <w:szCs w:val="48"/>
          <w:lang w:val="en-US" w:eastAsia="zh-CN"/>
        </w:rPr>
        <w:t>1</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年度收入总计</w:t>
      </w:r>
      <w:r>
        <w:rPr>
          <w:rFonts w:hint="eastAsia" w:ascii="仿宋" w:hAnsi="仿宋" w:eastAsia="仿宋" w:cs="Courier New"/>
          <w:sz w:val="32"/>
          <w:szCs w:val="32"/>
        </w:rPr>
        <w:t>210.37</w:t>
      </w:r>
      <w:r>
        <w:rPr>
          <w:rFonts w:hint="eastAsia" w:ascii="仿宋" w:hAnsi="仿宋" w:eastAsia="仿宋" w:cs="宋体"/>
          <w:sz w:val="32"/>
          <w:szCs w:val="32"/>
        </w:rPr>
        <w:t>万元，支出总计</w:t>
      </w:r>
      <w:r>
        <w:rPr>
          <w:rFonts w:hint="eastAsia" w:ascii="仿宋" w:hAnsi="仿宋" w:eastAsia="仿宋" w:cs="Courier New"/>
          <w:sz w:val="32"/>
          <w:szCs w:val="32"/>
        </w:rPr>
        <w:t>210.37</w:t>
      </w:r>
      <w:r>
        <w:rPr>
          <w:rFonts w:hint="eastAsia" w:ascii="仿宋" w:hAnsi="仿宋" w:eastAsia="仿宋" w:cs="宋体"/>
          <w:sz w:val="32"/>
          <w:szCs w:val="32"/>
        </w:rPr>
        <w:t>万元，与</w:t>
      </w:r>
      <w:r>
        <w:rPr>
          <w:rFonts w:hint="eastAsia"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41.93</w:t>
      </w:r>
      <w:r>
        <w:rPr>
          <w:rFonts w:hint="eastAsia" w:ascii="仿宋" w:hAnsi="仿宋" w:eastAsia="仿宋" w:cs="宋体"/>
          <w:sz w:val="32"/>
          <w:szCs w:val="32"/>
        </w:rPr>
        <w:t>万元，</w:t>
      </w:r>
      <w:r>
        <w:rPr>
          <w:rFonts w:hint="eastAsia" w:ascii="仿宋" w:hAnsi="仿宋" w:eastAsia="仿宋" w:cs="Courier New"/>
          <w:sz w:val="32"/>
          <w:szCs w:val="32"/>
        </w:rPr>
        <w:t>支出增加</w:t>
      </w:r>
      <w:r>
        <w:rPr>
          <w:rFonts w:hint="eastAsia" w:ascii="仿宋" w:hAnsi="仿宋" w:eastAsia="仿宋" w:cs="Courier New"/>
          <w:sz w:val="32"/>
          <w:szCs w:val="32"/>
          <w:lang w:val="en-US" w:eastAsia="zh-CN"/>
        </w:rPr>
        <w:t>41.93</w:t>
      </w:r>
      <w:r>
        <w:rPr>
          <w:rFonts w:hint="eastAsia" w:ascii="仿宋" w:hAnsi="仿宋" w:eastAsia="仿宋" w:cs="宋体"/>
          <w:sz w:val="32"/>
          <w:szCs w:val="32"/>
        </w:rPr>
        <w:t>万元，</w:t>
      </w:r>
      <w:r>
        <w:rPr>
          <w:rFonts w:hint="eastAsia" w:ascii="仿宋" w:hAnsi="仿宋" w:eastAsia="仿宋" w:cs="Courier New"/>
          <w:sz w:val="32"/>
          <w:szCs w:val="32"/>
        </w:rPr>
        <w:t>增浮</w:t>
      </w:r>
      <w:r>
        <w:rPr>
          <w:rFonts w:hint="eastAsia" w:ascii="仿宋" w:hAnsi="仿宋" w:eastAsia="仿宋" w:cs="Courier New"/>
          <w:sz w:val="32"/>
          <w:szCs w:val="32"/>
          <w:lang w:val="en-US" w:eastAsia="zh-CN"/>
        </w:rPr>
        <w:t>20</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w:t>
      </w:r>
      <w:r>
        <w:rPr>
          <w:rFonts w:hint="eastAsia" w:ascii="仿宋" w:hAnsi="仿宋" w:eastAsia="仿宋" w:cs="Courier New"/>
          <w:sz w:val="32"/>
          <w:szCs w:val="32"/>
          <w:lang w:eastAsia="zh-CN"/>
        </w:rPr>
        <w:t>目标考核奖及职业年金纳入预算</w:t>
      </w:r>
      <w:r>
        <w:rPr>
          <w:rFonts w:hint="eastAsia" w:ascii="仿宋" w:hAnsi="仿宋" w:eastAsia="仿宋" w:cs="Courier New"/>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252.3</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252.3</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度支出合计</w:t>
      </w:r>
      <w:r>
        <w:rPr>
          <w:rFonts w:hint="eastAsia" w:ascii="仿宋" w:hAnsi="仿宋" w:eastAsia="仿宋" w:cs="Courier New"/>
          <w:sz w:val="32"/>
          <w:szCs w:val="32"/>
          <w:lang w:val="en-US" w:eastAsia="zh-CN"/>
        </w:rPr>
        <w:t>252.3</w:t>
      </w:r>
      <w:r>
        <w:rPr>
          <w:rFonts w:hint="eastAsia" w:ascii="仿宋" w:hAnsi="仿宋" w:eastAsia="仿宋" w:cs="宋体"/>
          <w:sz w:val="32"/>
          <w:szCs w:val="32"/>
        </w:rPr>
        <w:t>万元，其中：基本支出</w:t>
      </w:r>
      <w:r>
        <w:rPr>
          <w:rFonts w:hint="eastAsia" w:ascii="仿宋" w:hAnsi="仿宋" w:eastAsia="仿宋" w:cs="宋体"/>
          <w:sz w:val="32"/>
          <w:szCs w:val="32"/>
          <w:lang w:val="en-US" w:eastAsia="zh-CN"/>
        </w:rPr>
        <w:t>208.2</w:t>
      </w:r>
      <w:r>
        <w:rPr>
          <w:rFonts w:hint="eastAsia" w:ascii="仿宋" w:hAnsi="仿宋" w:eastAsia="仿宋" w:cs="宋体"/>
          <w:sz w:val="32"/>
          <w:szCs w:val="32"/>
        </w:rPr>
        <w:t>万元，占</w:t>
      </w:r>
      <w:r>
        <w:rPr>
          <w:rFonts w:hint="eastAsia" w:ascii="仿宋" w:hAnsi="仿宋" w:eastAsia="仿宋" w:cs="宋体"/>
          <w:sz w:val="32"/>
          <w:szCs w:val="32"/>
          <w:lang w:val="en-US" w:eastAsia="zh-CN"/>
        </w:rPr>
        <w:t>82.5</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44.1</w:t>
      </w:r>
      <w:r>
        <w:rPr>
          <w:rFonts w:hint="eastAsia" w:ascii="仿宋" w:hAnsi="仿宋" w:eastAsia="仿宋" w:cs="宋体"/>
          <w:sz w:val="32"/>
          <w:szCs w:val="32"/>
        </w:rPr>
        <w:t>万元，占</w:t>
      </w:r>
      <w:r>
        <w:rPr>
          <w:rFonts w:hint="eastAsia" w:ascii="仿宋" w:hAnsi="仿宋" w:eastAsia="仿宋" w:cs="宋体"/>
          <w:sz w:val="32"/>
          <w:szCs w:val="32"/>
          <w:lang w:val="en-US" w:eastAsia="zh-CN"/>
        </w:rPr>
        <w:t>17.5</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252.3</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44.1</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20</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宋体"/>
          <w:sz w:val="32"/>
          <w:szCs w:val="32"/>
          <w:lang w:eastAsia="zh-CN"/>
        </w:rPr>
        <w:t>主要原</w:t>
      </w:r>
      <w:r>
        <w:rPr>
          <w:rFonts w:hint="eastAsia" w:ascii="仿宋" w:hAnsi="仿宋" w:eastAsia="仿宋" w:cs="Courier New"/>
          <w:sz w:val="32"/>
          <w:szCs w:val="32"/>
        </w:rPr>
        <w:t>因</w:t>
      </w:r>
      <w:r>
        <w:rPr>
          <w:rFonts w:hint="eastAsia" w:ascii="仿宋" w:hAnsi="仿宋" w:eastAsia="仿宋" w:cs="Courier New"/>
          <w:sz w:val="32"/>
          <w:szCs w:val="32"/>
          <w:lang w:eastAsia="zh-CN"/>
        </w:rPr>
        <w:t>：目标考核奖及职业年金纳入预算</w:t>
      </w:r>
      <w:r>
        <w:rPr>
          <w:rFonts w:hint="eastAsia" w:ascii="仿宋" w:hAnsi="仿宋" w:eastAsia="仿宋" w:cs="Courier New"/>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五、一般</w:t>
      </w:r>
      <w:r>
        <w:rPr>
          <w:rFonts w:hint="eastAsia" w:ascii="仿宋" w:hAnsi="仿宋" w:eastAsia="仿宋"/>
          <w:sz w:val="32"/>
          <w:szCs w:val="32"/>
          <w:lang w:val="en-US" w:eastAsia="zh-CN"/>
        </w:rPr>
        <w:t>公共预算</w:t>
      </w:r>
      <w:r>
        <w:rPr>
          <w:rFonts w:hint="eastAsia" w:ascii="仿宋" w:hAnsi="仿宋" w:eastAsia="仿宋" w:cs="宋体"/>
          <w:b w:val="0"/>
          <w:bCs/>
          <w:color w:val="000000"/>
          <w:kern w:val="0"/>
          <w:sz w:val="32"/>
          <w:szCs w:val="32"/>
        </w:rPr>
        <w:t>支出预</w:t>
      </w:r>
      <w:r>
        <w:rPr>
          <w:rFonts w:hint="eastAsia" w:ascii="仿宋" w:hAnsi="仿宋" w:eastAsia="仿宋"/>
          <w:sz w:val="32"/>
          <w:szCs w:val="32"/>
        </w:rPr>
        <w:t>算</w:t>
      </w:r>
      <w:r>
        <w:rPr>
          <w:rFonts w:hint="eastAsia" w:ascii="仿宋" w:hAnsi="仿宋" w:eastAsia="仿宋"/>
          <w:sz w:val="32"/>
          <w:szCs w:val="32"/>
          <w:lang w:val="en-US" w:eastAsia="zh-CN"/>
        </w:rPr>
        <w:t>总体</w:t>
      </w:r>
      <w:r>
        <w:rPr>
          <w:rFonts w:hint="eastAsia" w:ascii="仿宋" w:hAnsi="仿宋" w:eastAsia="仿宋"/>
          <w:sz w:val="32"/>
          <w:szCs w:val="32"/>
        </w:rPr>
        <w:t>情况说明</w:t>
      </w:r>
    </w:p>
    <w:p>
      <w:pPr>
        <w:numPr>
          <w:ilvl w:val="0"/>
          <w:numId w:val="5"/>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lang w:val="en-US" w:eastAsia="zh-CN"/>
        </w:rPr>
        <w:t>一般公共预算支出预算情况说明</w:t>
      </w:r>
    </w:p>
    <w:p>
      <w:pPr>
        <w:adjustRightInd w:val="0"/>
        <w:snapToGrid w:val="0"/>
        <w:spacing w:line="360" w:lineRule="auto"/>
        <w:ind w:firstLine="640" w:firstLineChars="20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w:t>
      </w:r>
      <w:r>
        <w:rPr>
          <w:rFonts w:hint="eastAsia" w:ascii="仿宋" w:hAnsi="仿宋" w:eastAsia="仿宋"/>
          <w:sz w:val="32"/>
          <w:szCs w:val="32"/>
        </w:rPr>
        <w:t>一般行政事务管理</w:t>
      </w:r>
      <w:r>
        <w:rPr>
          <w:rFonts w:hint="eastAsia" w:ascii="仿宋" w:hAnsi="仿宋" w:eastAsia="仿宋" w:cs="宋体"/>
          <w:bCs/>
          <w:color w:val="000000"/>
          <w:kern w:val="0"/>
          <w:sz w:val="32"/>
          <w:szCs w:val="32"/>
        </w:rPr>
        <w:t>等支出</w:t>
      </w:r>
      <w:r>
        <w:rPr>
          <w:rFonts w:hint="eastAsia" w:ascii="仿宋" w:hAnsi="仿宋" w:eastAsia="仿宋" w:cs="Courier New"/>
          <w:bCs/>
          <w:sz w:val="32"/>
          <w:szCs w:val="32"/>
          <w:lang w:val="en-US" w:eastAsia="zh-CN"/>
        </w:rPr>
        <w:t>252.3</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w:t>
      </w:r>
      <w:r>
        <w:rPr>
          <w:rFonts w:hint="eastAsia" w:ascii="仿宋" w:hAnsi="仿宋" w:eastAsia="仿宋" w:cs="Courier New"/>
          <w:bCs/>
          <w:sz w:val="32"/>
          <w:szCs w:val="32"/>
          <w:lang w:val="en-US" w:eastAsia="zh-CN"/>
        </w:rPr>
        <w:t>20</w:t>
      </w:r>
      <w:r>
        <w:rPr>
          <w:rFonts w:hint="eastAsia" w:ascii="仿宋" w:hAnsi="仿宋" w:eastAsia="仿宋" w:cs="宋体"/>
          <w:bCs/>
          <w:sz w:val="32"/>
          <w:szCs w:val="32"/>
        </w:rPr>
        <w:t>年相比，</w:t>
      </w:r>
      <w:r>
        <w:rPr>
          <w:rFonts w:hint="eastAsia" w:ascii="仿宋" w:hAnsi="仿宋" w:eastAsia="仿宋"/>
          <w:sz w:val="32"/>
          <w:szCs w:val="32"/>
        </w:rPr>
        <w:t>一般行政事务管理</w:t>
      </w:r>
      <w:r>
        <w:rPr>
          <w:rFonts w:hint="eastAsia" w:ascii="仿宋" w:hAnsi="仿宋" w:eastAsia="仿宋" w:cs="宋体"/>
          <w:bCs/>
          <w:color w:val="000000"/>
          <w:kern w:val="0"/>
          <w:sz w:val="32"/>
          <w:szCs w:val="32"/>
        </w:rPr>
        <w:t>等支出</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41.93</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20</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w:t>
      </w:r>
      <w:r>
        <w:rPr>
          <w:rFonts w:hint="eastAsia" w:ascii="仿宋" w:hAnsi="仿宋" w:eastAsia="仿宋" w:cs="Courier New"/>
          <w:sz w:val="32"/>
          <w:szCs w:val="32"/>
          <w:lang w:eastAsia="zh-CN"/>
        </w:rPr>
        <w:t>目标考核奖及职业年金纳入预算，</w:t>
      </w:r>
      <w:r>
        <w:rPr>
          <w:rFonts w:hint="eastAsia" w:ascii="仿宋" w:hAnsi="仿宋" w:eastAsia="仿宋" w:cs="Courier New"/>
          <w:sz w:val="32"/>
          <w:szCs w:val="32"/>
          <w:lang w:val="en-US" w:eastAsia="zh-CN"/>
        </w:rPr>
        <w:t>其中基本支出208.2万元，占比年初预算支出82.5%；项目支出44.1万元，占比年初预算支出17.5%。</w:t>
      </w:r>
    </w:p>
    <w:p>
      <w:pPr>
        <w:numPr>
          <w:ilvl w:val="0"/>
          <w:numId w:val="5"/>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lang w:val="en-US" w:eastAsia="zh-CN"/>
        </w:rPr>
        <w:t>一般公共预算基本支出预算情况说明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w:t>
      </w:r>
      <w:r>
        <w:rPr>
          <w:rFonts w:hint="eastAsia" w:ascii="仿宋" w:hAnsi="仿宋" w:eastAsia="仿宋" w:cs="宋体"/>
          <w:sz w:val="32"/>
          <w:szCs w:val="32"/>
          <w:lang w:val="en-US" w:eastAsia="zh-CN"/>
        </w:rPr>
        <w:t>中共信阳市浉河区委机构编制委员会办公室基本</w:t>
      </w:r>
      <w:r>
        <w:rPr>
          <w:rFonts w:hint="eastAsia" w:ascii="仿宋" w:hAnsi="仿宋" w:eastAsia="仿宋" w:cs="宋体"/>
          <w:bCs/>
          <w:color w:val="000000"/>
          <w:kern w:val="0"/>
          <w:sz w:val="32"/>
          <w:szCs w:val="32"/>
        </w:rPr>
        <w:t>支出</w:t>
      </w:r>
      <w:r>
        <w:rPr>
          <w:rFonts w:hint="eastAsia" w:ascii="仿宋" w:hAnsi="仿宋" w:eastAsia="仿宋" w:cs="宋体"/>
          <w:bCs/>
          <w:color w:val="000000"/>
          <w:kern w:val="0"/>
          <w:sz w:val="32"/>
          <w:szCs w:val="32"/>
          <w:lang w:val="en-US" w:eastAsia="zh-CN"/>
        </w:rPr>
        <w:t>208.2</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lang w:val="en-US" w:eastAsia="zh-CN"/>
        </w:rPr>
        <w:t>197</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主要包括：基本工资、津贴补贴、伙食补助费、绩效工资等（按照公开</w:t>
      </w:r>
      <w:r>
        <w:rPr>
          <w:rFonts w:ascii="仿宋" w:hAnsi="仿宋" w:eastAsia="仿宋" w:cs="Courier New"/>
          <w:sz w:val="32"/>
          <w:szCs w:val="32"/>
        </w:rPr>
        <w:t>06</w:t>
      </w:r>
      <w:r>
        <w:rPr>
          <w:rFonts w:hint="eastAsia" w:ascii="仿宋" w:hAnsi="仿宋" w:eastAsia="仿宋" w:cs="宋体"/>
          <w:sz w:val="32"/>
          <w:szCs w:val="32"/>
        </w:rPr>
        <w:t>表中</w:t>
      </w:r>
      <w:r>
        <w:rPr>
          <w:rFonts w:ascii="仿宋" w:hAnsi="仿宋" w:eastAsia="仿宋" w:cs="Courier New"/>
          <w:sz w:val="32"/>
          <w:szCs w:val="32"/>
        </w:rPr>
        <w:t>“</w:t>
      </w:r>
      <w:r>
        <w:rPr>
          <w:rFonts w:hint="eastAsia" w:ascii="仿宋" w:hAnsi="仿宋" w:eastAsia="仿宋" w:cs="宋体"/>
          <w:sz w:val="32"/>
          <w:szCs w:val="32"/>
        </w:rPr>
        <w:t>人员经费</w:t>
      </w:r>
      <w:r>
        <w:rPr>
          <w:rFonts w:ascii="仿宋" w:hAnsi="仿宋" w:eastAsia="仿宋" w:cs="Courier New"/>
          <w:sz w:val="32"/>
          <w:szCs w:val="32"/>
        </w:rPr>
        <w:t>”</w:t>
      </w:r>
      <w:r>
        <w:rPr>
          <w:rFonts w:hint="eastAsia" w:ascii="仿宋" w:hAnsi="仿宋" w:eastAsia="仿宋" w:cs="宋体"/>
          <w:sz w:val="32"/>
          <w:szCs w:val="32"/>
        </w:rPr>
        <w:t>所列项目填写）；</w:t>
      </w:r>
      <w:r>
        <w:rPr>
          <w:rFonts w:hint="eastAsia" w:ascii="仿宋" w:hAnsi="仿宋" w:eastAsia="仿宋" w:cs="宋体"/>
          <w:b/>
          <w:spacing w:val="-1"/>
          <w:kern w:val="0"/>
          <w:sz w:val="32"/>
          <w:szCs w:val="32"/>
        </w:rPr>
        <w:t>公用经费</w:t>
      </w:r>
      <w:r>
        <w:rPr>
          <w:rFonts w:hint="eastAsia" w:ascii="仿宋" w:hAnsi="仿宋" w:eastAsia="仿宋" w:cs="??_GB2312"/>
          <w:spacing w:val="-2"/>
          <w:kern w:val="0"/>
          <w:sz w:val="32"/>
          <w:szCs w:val="32"/>
          <w:lang w:val="en-US" w:eastAsia="zh-CN"/>
        </w:rPr>
        <w:t>11.2</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w:t>
      </w:r>
      <w:r>
        <w:rPr>
          <w:rFonts w:hint="eastAsia" w:ascii="仿宋" w:hAnsi="仿宋" w:eastAsia="仿宋" w:cs="宋体"/>
          <w:sz w:val="32"/>
          <w:szCs w:val="32"/>
          <w:lang w:val="en-US" w:eastAsia="zh-CN"/>
        </w:rPr>
        <w:t>等</w:t>
      </w:r>
      <w:r>
        <w:rPr>
          <w:rFonts w:hint="eastAsia" w:ascii="仿宋" w:hAnsi="仿宋" w:eastAsia="仿宋" w:cs="宋体"/>
          <w:sz w:val="32"/>
          <w:szCs w:val="32"/>
        </w:rPr>
        <w:t>。</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2.3</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2.3</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与2020年相比无增减变动，</w:t>
      </w:r>
      <w:r>
        <w:rPr>
          <w:rFonts w:hint="eastAsia" w:ascii="仿宋" w:hAnsi="仿宋" w:eastAsia="仿宋" w:cs="宋体"/>
          <w:sz w:val="32"/>
          <w:szCs w:val="32"/>
        </w:rPr>
        <w:t>主要原因是：</w:t>
      </w:r>
      <w:r>
        <w:rPr>
          <w:rFonts w:hint="eastAsia" w:ascii="仿宋" w:hAnsi="仿宋" w:eastAsia="仿宋" w:cs="宋体"/>
          <w:sz w:val="32"/>
          <w:szCs w:val="32"/>
          <w:lang w:val="en-US" w:eastAsia="zh-CN"/>
        </w:rPr>
        <w:t>厉行节俭，控制费用支出。</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2.3</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 w:hAnsi="仿宋" w:eastAsia="仿宋" w:cs="Courier New"/>
          <w:sz w:val="32"/>
          <w:szCs w:val="32"/>
          <w:lang w:eastAsia="zh-CN"/>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p>
    <w:p>
      <w:pPr>
        <w:kinsoku w:val="0"/>
        <w:overflowPunct w:val="0"/>
        <w:autoSpaceDE w:val="0"/>
        <w:autoSpaceDN w:val="0"/>
        <w:adjustRightInd w:val="0"/>
        <w:snapToGrid w:val="0"/>
        <w:spacing w:line="360" w:lineRule="auto"/>
        <w:ind w:firstLine="643" w:firstLineChars="200"/>
        <w:rPr>
          <w:rFonts w:hint="default" w:ascii="仿宋" w:hAnsi="仿宋" w:eastAsia="仿宋" w:cs="Courier New"/>
          <w:sz w:val="32"/>
          <w:szCs w:val="32"/>
          <w:lang w:val="en-US" w:eastAsia="zh-CN"/>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公务用车运行维护费0万元，主要</w:t>
      </w:r>
      <w:r>
        <w:rPr>
          <w:rFonts w:hint="eastAsia" w:ascii="仿宋" w:hAnsi="仿宋" w:eastAsia="仿宋" w:cs="宋体"/>
          <w:sz w:val="32"/>
          <w:szCs w:val="32"/>
          <w:lang w:eastAsia="zh-CN"/>
        </w:rPr>
        <w:t>原因</w:t>
      </w:r>
      <w:r>
        <w:rPr>
          <w:rFonts w:hint="eastAsia" w:ascii="仿宋" w:hAnsi="仿宋" w:eastAsia="仿宋" w:cs="宋体"/>
          <w:sz w:val="32"/>
          <w:szCs w:val="32"/>
          <w:lang w:val="en-US" w:eastAsia="zh-CN"/>
        </w:rPr>
        <w:t>:没有公务用车购置计划，2021年我单位按照中央国务院八项规定和省委省政府厉行节约的相关规定要求，进一步压缩公务用车开支。</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支出2.3万元。其中：主要用于</w:t>
      </w:r>
      <w:r>
        <w:rPr>
          <w:rFonts w:hint="eastAsia" w:ascii="仿宋" w:hAnsi="仿宋" w:eastAsia="仿宋" w:cs="宋体"/>
          <w:sz w:val="32"/>
          <w:szCs w:val="32"/>
          <w:lang w:eastAsia="zh-CN"/>
        </w:rPr>
        <w:t>中共信阳市浉河区委机构编制委员会办公室</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与2020年相比无增减变动。</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widowControl/>
        <w:spacing w:line="600" w:lineRule="exact"/>
        <w:ind w:firstLine="640" w:firstLineChars="200"/>
        <w:jc w:val="left"/>
        <w:rPr>
          <w:rFonts w:eastAsia="仿宋_GB2312"/>
          <w:color w:val="000000"/>
          <w:kern w:val="0"/>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lang w:val="en-US" w:eastAsia="zh-CN"/>
        </w:rPr>
        <w:t>11.2</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0.7</w:t>
      </w:r>
      <w:r>
        <w:rPr>
          <w:rFonts w:hint="eastAsia" w:ascii="仿宋" w:hAnsi="仿宋" w:eastAsia="仿宋" w:cs="宋体"/>
          <w:sz w:val="32"/>
          <w:szCs w:val="32"/>
        </w:rPr>
        <w:t>万元，上涨</w:t>
      </w:r>
      <w:r>
        <w:rPr>
          <w:rFonts w:hint="eastAsia" w:ascii="仿宋" w:hAnsi="仿宋" w:eastAsia="仿宋" w:cs="宋体"/>
          <w:sz w:val="32"/>
          <w:szCs w:val="32"/>
          <w:lang w:val="en-US" w:eastAsia="zh-CN"/>
        </w:rPr>
        <w:t>6.7</w:t>
      </w:r>
      <w:r>
        <w:rPr>
          <w:rFonts w:ascii="仿宋" w:hAnsi="仿宋" w:eastAsia="仿宋" w:cs="Courier New"/>
          <w:sz w:val="32"/>
          <w:szCs w:val="32"/>
        </w:rPr>
        <w:t>%</w:t>
      </w:r>
      <w:r>
        <w:rPr>
          <w:rFonts w:hint="eastAsia" w:ascii="仿宋" w:hAnsi="仿宋" w:eastAsia="仿宋" w:cs="Courier New"/>
          <w:sz w:val="32"/>
          <w:szCs w:val="32"/>
          <w:lang w:eastAsia="zh-CN"/>
        </w:rPr>
        <w:t>，</w:t>
      </w:r>
      <w:r>
        <w:rPr>
          <w:rFonts w:eastAsia="仿宋_GB2312"/>
          <w:color w:val="000000"/>
          <w:kern w:val="0"/>
          <w:sz w:val="32"/>
          <w:szCs w:val="32"/>
        </w:rPr>
        <w:t>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spacing w:line="560" w:lineRule="exact"/>
        <w:ind w:firstLine="640" w:firstLineChars="200"/>
        <w:rPr>
          <w:rFonts w:hint="eastAsia" w:ascii="仿宋_GB2312" w:hAnsi="宋体" w:eastAsia="仿宋_GB2312" w:cs="Courier New"/>
          <w:sz w:val="32"/>
          <w:szCs w:val="32"/>
        </w:rPr>
        <w:sectPr>
          <w:pgSz w:w="11906" w:h="16838"/>
          <w:pgMar w:top="1440" w:right="1800" w:bottom="1440" w:left="1800" w:header="851" w:footer="992" w:gutter="0"/>
          <w:cols w:space="425" w:num="1"/>
          <w:docGrid w:type="lines" w:linePitch="312" w:charSpace="0"/>
        </w:sectPr>
      </w:pPr>
    </w:p>
    <w:p>
      <w:pPr>
        <w:kinsoku w:val="0"/>
        <w:overflowPunct w:val="0"/>
        <w:autoSpaceDE w:val="0"/>
        <w:autoSpaceDN w:val="0"/>
        <w:adjustRightInd w:val="0"/>
        <w:snapToGrid w:val="0"/>
        <w:spacing w:line="360" w:lineRule="auto"/>
        <w:ind w:firstLine="960" w:firstLineChars="300"/>
        <w:rPr>
          <w:rFonts w:hint="eastAsia" w:ascii="仿宋" w:hAnsi="仿宋" w:eastAsia="仿宋" w:cs="Courier New"/>
          <w:sz w:val="32"/>
          <w:szCs w:val="32"/>
          <w:lang w:eastAsia="zh-CN"/>
        </w:rPr>
      </w:pP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widowControl/>
        <w:spacing w:line="600" w:lineRule="exact"/>
        <w:ind w:firstLine="640" w:firstLineChars="200"/>
        <w:jc w:val="left"/>
        <w:rPr>
          <w:rFonts w:hint="eastAsia"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Courier New"/>
          <w:sz w:val="32"/>
          <w:szCs w:val="32"/>
        </w:rPr>
        <w:t>年度政府采购支出预算总额0万元</w:t>
      </w:r>
      <w:r>
        <w:rPr>
          <w:rFonts w:hint="eastAsia" w:ascii="仿宋" w:hAnsi="仿宋" w:eastAsia="仿宋" w:cs="Courier New"/>
          <w:sz w:val="32"/>
          <w:szCs w:val="32"/>
          <w:lang w:eastAsia="zh-CN"/>
        </w:rPr>
        <w:t>，</w:t>
      </w:r>
      <w:r>
        <w:rPr>
          <w:rFonts w:hint="eastAsia" w:ascii="仿宋" w:hAnsi="仿宋" w:eastAsia="仿宋" w:cs="Courier New"/>
          <w:sz w:val="32"/>
          <w:szCs w:val="32"/>
        </w:rPr>
        <w:t>其中：政府采购货物预算0万元、政府采购工程预算0万元、政府采购服务预算0万元。采购内容包括0设备购置、0实施费用等。</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eastAsia="zh-CN"/>
        </w:rPr>
      </w:pP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eastAsia="zh-CN"/>
        </w:rPr>
        <w:t>中共信阳市浉河区委机构编制委员会办公室</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bCs/>
          <w:kern w:val="0"/>
          <w:sz w:val="32"/>
          <w:szCs w:val="32"/>
        </w:rPr>
        <w:t>（</w:t>
      </w:r>
      <w:r>
        <w:rPr>
          <w:rFonts w:hint="eastAsia" w:ascii="仿宋" w:hAnsi="仿宋" w:eastAsia="仿宋" w:cs="Courier New"/>
          <w:sz w:val="32"/>
          <w:szCs w:val="32"/>
        </w:rPr>
        <w:t>四）重点项目的预算绩效目标情况。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宋体"/>
          <w:sz w:val="32"/>
          <w:szCs w:val="32"/>
          <w:lang w:eastAsia="zh-CN"/>
        </w:rPr>
        <w:t>中共信阳市浉河区委机构编制委员会办公室</w:t>
      </w:r>
      <w:r>
        <w:rPr>
          <w:rFonts w:hint="eastAsia" w:ascii="仿宋" w:hAnsi="仿宋" w:eastAsia="仿宋" w:cs="Courier New"/>
          <w:sz w:val="32"/>
          <w:szCs w:val="32"/>
        </w:rPr>
        <w:t>2020年度重点项目</w:t>
      </w:r>
      <w:r>
        <w:rPr>
          <w:rFonts w:hint="eastAsia" w:ascii="仿宋" w:hAnsi="仿宋" w:eastAsia="仿宋" w:cs="Courier New"/>
          <w:sz w:val="32"/>
          <w:szCs w:val="32"/>
          <w:lang w:eastAsia="zh-CN"/>
        </w:rPr>
        <w:t>详见表格</w:t>
      </w:r>
      <w:r>
        <w:rPr>
          <w:rFonts w:hint="eastAsia" w:ascii="仿宋" w:hAnsi="仿宋" w:eastAsia="仿宋" w:cs="Courier New"/>
          <w:sz w:val="32"/>
          <w:szCs w:val="32"/>
        </w:rPr>
        <w:t>。</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eastAsia="zh-CN"/>
        </w:rPr>
        <w:t>三</w:t>
      </w:r>
      <w:r>
        <w:rPr>
          <w:rFonts w:hint="eastAsia" w:ascii="仿宋" w:hAnsi="仿宋" w:eastAsia="仿宋" w:cs="隶书"/>
          <w:sz w:val="48"/>
          <w:szCs w:val="48"/>
        </w:rPr>
        <w:t>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outlineLvl w:val="0"/>
        <w:rPr>
          <w:rFonts w:hint="default" w:ascii="仿宋" w:hAnsi="仿宋" w:eastAsia="仿宋" w:cs="隶书"/>
          <w:sz w:val="48"/>
          <w:szCs w:val="48"/>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dtRE3AgAAbw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AXbUR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8">
    <w:nsid w:val="5A1E79B4"/>
    <w:multiLevelType w:val="multilevel"/>
    <w:tmpl w:val="5A1E79B4"/>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 w:numId="3">
    <w:abstractNumId w:val="2"/>
  </w:num>
  <w:num w:numId="4">
    <w:abstractNumId w:val="8"/>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83"/>
    <w:rsid w:val="000268B8"/>
    <w:rsid w:val="00042522"/>
    <w:rsid w:val="00077E10"/>
    <w:rsid w:val="00092801"/>
    <w:rsid w:val="000B1B09"/>
    <w:rsid w:val="000B1B9B"/>
    <w:rsid w:val="00132E43"/>
    <w:rsid w:val="00142081"/>
    <w:rsid w:val="00170110"/>
    <w:rsid w:val="0017112E"/>
    <w:rsid w:val="00172A27"/>
    <w:rsid w:val="001D3FB5"/>
    <w:rsid w:val="002A721A"/>
    <w:rsid w:val="002C7A67"/>
    <w:rsid w:val="00336FCB"/>
    <w:rsid w:val="00376170"/>
    <w:rsid w:val="00377F5B"/>
    <w:rsid w:val="003A5562"/>
    <w:rsid w:val="00402C74"/>
    <w:rsid w:val="004C11C3"/>
    <w:rsid w:val="004D36BB"/>
    <w:rsid w:val="004F3C7C"/>
    <w:rsid w:val="0050293C"/>
    <w:rsid w:val="00503F16"/>
    <w:rsid w:val="005B4938"/>
    <w:rsid w:val="005E126E"/>
    <w:rsid w:val="00630D31"/>
    <w:rsid w:val="00667ECD"/>
    <w:rsid w:val="00697F87"/>
    <w:rsid w:val="006F22F7"/>
    <w:rsid w:val="007115FD"/>
    <w:rsid w:val="00731FE8"/>
    <w:rsid w:val="00743248"/>
    <w:rsid w:val="00787823"/>
    <w:rsid w:val="007956F5"/>
    <w:rsid w:val="007B72EA"/>
    <w:rsid w:val="007F7F87"/>
    <w:rsid w:val="009A0B40"/>
    <w:rsid w:val="009B6CAD"/>
    <w:rsid w:val="009C27F1"/>
    <w:rsid w:val="00A31F04"/>
    <w:rsid w:val="00A77C36"/>
    <w:rsid w:val="00AB7377"/>
    <w:rsid w:val="00AE02B2"/>
    <w:rsid w:val="00AE7787"/>
    <w:rsid w:val="00AF2A6D"/>
    <w:rsid w:val="00AF7B15"/>
    <w:rsid w:val="00B12B50"/>
    <w:rsid w:val="00B247A7"/>
    <w:rsid w:val="00B54309"/>
    <w:rsid w:val="00B74243"/>
    <w:rsid w:val="00B84FB0"/>
    <w:rsid w:val="00B97701"/>
    <w:rsid w:val="00BA37FF"/>
    <w:rsid w:val="00BC30E8"/>
    <w:rsid w:val="00BC5210"/>
    <w:rsid w:val="00BE4CA5"/>
    <w:rsid w:val="00BF3D6F"/>
    <w:rsid w:val="00BF74B7"/>
    <w:rsid w:val="00C57D7B"/>
    <w:rsid w:val="00C6444A"/>
    <w:rsid w:val="00CA3D29"/>
    <w:rsid w:val="00CD4933"/>
    <w:rsid w:val="00D9092F"/>
    <w:rsid w:val="00DB1C77"/>
    <w:rsid w:val="00DB36B1"/>
    <w:rsid w:val="00DD5457"/>
    <w:rsid w:val="00DF52E2"/>
    <w:rsid w:val="00E21B07"/>
    <w:rsid w:val="00E32E02"/>
    <w:rsid w:val="00E8190D"/>
    <w:rsid w:val="00E92067"/>
    <w:rsid w:val="00ED38A5"/>
    <w:rsid w:val="00ED44BB"/>
    <w:rsid w:val="00EE6AA4"/>
    <w:rsid w:val="00F1270D"/>
    <w:rsid w:val="00F1445D"/>
    <w:rsid w:val="00F92F65"/>
    <w:rsid w:val="00F94FCA"/>
    <w:rsid w:val="00FB0B96"/>
    <w:rsid w:val="01092110"/>
    <w:rsid w:val="01277514"/>
    <w:rsid w:val="01597D70"/>
    <w:rsid w:val="01F21A60"/>
    <w:rsid w:val="026651AD"/>
    <w:rsid w:val="027033B1"/>
    <w:rsid w:val="03240ECA"/>
    <w:rsid w:val="03DB5712"/>
    <w:rsid w:val="04453648"/>
    <w:rsid w:val="06832860"/>
    <w:rsid w:val="07F31BEE"/>
    <w:rsid w:val="07FB5821"/>
    <w:rsid w:val="084D7413"/>
    <w:rsid w:val="087B6D0F"/>
    <w:rsid w:val="08A93228"/>
    <w:rsid w:val="08FB3159"/>
    <w:rsid w:val="09B93D8A"/>
    <w:rsid w:val="09BB2134"/>
    <w:rsid w:val="0C366EEC"/>
    <w:rsid w:val="0EA403BA"/>
    <w:rsid w:val="0FAB2FE6"/>
    <w:rsid w:val="0FEF0DE6"/>
    <w:rsid w:val="0FFF7AFA"/>
    <w:rsid w:val="100D2199"/>
    <w:rsid w:val="113E646F"/>
    <w:rsid w:val="117A0571"/>
    <w:rsid w:val="128A07BC"/>
    <w:rsid w:val="136A6133"/>
    <w:rsid w:val="139C6079"/>
    <w:rsid w:val="147E551D"/>
    <w:rsid w:val="1480503E"/>
    <w:rsid w:val="14D2458E"/>
    <w:rsid w:val="150B6848"/>
    <w:rsid w:val="15492582"/>
    <w:rsid w:val="17965762"/>
    <w:rsid w:val="17BE6092"/>
    <w:rsid w:val="17F73D7A"/>
    <w:rsid w:val="18EB7610"/>
    <w:rsid w:val="1A624019"/>
    <w:rsid w:val="1B80212A"/>
    <w:rsid w:val="1C1F61CB"/>
    <w:rsid w:val="1C3B117F"/>
    <w:rsid w:val="1C572563"/>
    <w:rsid w:val="1C970E94"/>
    <w:rsid w:val="1E2566FD"/>
    <w:rsid w:val="1E7D3B34"/>
    <w:rsid w:val="1FF4289B"/>
    <w:rsid w:val="203620DE"/>
    <w:rsid w:val="20F5460F"/>
    <w:rsid w:val="212E5315"/>
    <w:rsid w:val="23572AFD"/>
    <w:rsid w:val="24A6503F"/>
    <w:rsid w:val="24FA18F4"/>
    <w:rsid w:val="254B33D1"/>
    <w:rsid w:val="256D2254"/>
    <w:rsid w:val="25FE7C4C"/>
    <w:rsid w:val="27507D70"/>
    <w:rsid w:val="29621C7E"/>
    <w:rsid w:val="2983760E"/>
    <w:rsid w:val="29B13F52"/>
    <w:rsid w:val="29ED2241"/>
    <w:rsid w:val="2ACE51FA"/>
    <w:rsid w:val="2B73532D"/>
    <w:rsid w:val="2BA4769A"/>
    <w:rsid w:val="2C654BE7"/>
    <w:rsid w:val="2C8F6BCF"/>
    <w:rsid w:val="2CC075DB"/>
    <w:rsid w:val="2CD06EF4"/>
    <w:rsid w:val="2D6B6198"/>
    <w:rsid w:val="2D9D4DA5"/>
    <w:rsid w:val="2DBF18D1"/>
    <w:rsid w:val="2EF22606"/>
    <w:rsid w:val="2F47056C"/>
    <w:rsid w:val="307652F7"/>
    <w:rsid w:val="320B3625"/>
    <w:rsid w:val="325F6EF2"/>
    <w:rsid w:val="32EF005E"/>
    <w:rsid w:val="32EF40CE"/>
    <w:rsid w:val="33A76F4E"/>
    <w:rsid w:val="34416F30"/>
    <w:rsid w:val="364D690A"/>
    <w:rsid w:val="36FA2471"/>
    <w:rsid w:val="372974AC"/>
    <w:rsid w:val="37C8447C"/>
    <w:rsid w:val="38262F47"/>
    <w:rsid w:val="39134D5A"/>
    <w:rsid w:val="39637962"/>
    <w:rsid w:val="39765334"/>
    <w:rsid w:val="39967F15"/>
    <w:rsid w:val="39C10475"/>
    <w:rsid w:val="3AD828EB"/>
    <w:rsid w:val="3AE7177F"/>
    <w:rsid w:val="3B1062EF"/>
    <w:rsid w:val="3C3108E6"/>
    <w:rsid w:val="3C5769C0"/>
    <w:rsid w:val="3D2A3A98"/>
    <w:rsid w:val="3E3A1504"/>
    <w:rsid w:val="3EA437AD"/>
    <w:rsid w:val="3EEE22CD"/>
    <w:rsid w:val="3F081D17"/>
    <w:rsid w:val="3FCD07F4"/>
    <w:rsid w:val="40D9187E"/>
    <w:rsid w:val="41A96A6B"/>
    <w:rsid w:val="41CF71DE"/>
    <w:rsid w:val="41D95B30"/>
    <w:rsid w:val="42271DDB"/>
    <w:rsid w:val="42563EC6"/>
    <w:rsid w:val="429A66C6"/>
    <w:rsid w:val="43E82B9D"/>
    <w:rsid w:val="457B1C96"/>
    <w:rsid w:val="463A1B78"/>
    <w:rsid w:val="468900BD"/>
    <w:rsid w:val="46F559ED"/>
    <w:rsid w:val="47013EBC"/>
    <w:rsid w:val="477D716C"/>
    <w:rsid w:val="483149A0"/>
    <w:rsid w:val="48B52937"/>
    <w:rsid w:val="48C00F7D"/>
    <w:rsid w:val="48EE3EF3"/>
    <w:rsid w:val="493E57E9"/>
    <w:rsid w:val="4B2D55EB"/>
    <w:rsid w:val="4B9A4DC2"/>
    <w:rsid w:val="4C1E2F28"/>
    <w:rsid w:val="4CDB5748"/>
    <w:rsid w:val="4DE20C7C"/>
    <w:rsid w:val="50596569"/>
    <w:rsid w:val="50C2787A"/>
    <w:rsid w:val="5115239B"/>
    <w:rsid w:val="51E403A7"/>
    <w:rsid w:val="541D6A82"/>
    <w:rsid w:val="544677EE"/>
    <w:rsid w:val="55EA1009"/>
    <w:rsid w:val="5651051D"/>
    <w:rsid w:val="57E961A8"/>
    <w:rsid w:val="581E77CF"/>
    <w:rsid w:val="58B06254"/>
    <w:rsid w:val="5AF25131"/>
    <w:rsid w:val="5B1F131B"/>
    <w:rsid w:val="5BCA31AA"/>
    <w:rsid w:val="5C0F3375"/>
    <w:rsid w:val="5D4A4CBB"/>
    <w:rsid w:val="5D5D37C7"/>
    <w:rsid w:val="5DD56AC2"/>
    <w:rsid w:val="5DD8301E"/>
    <w:rsid w:val="5E886EBD"/>
    <w:rsid w:val="5EB57926"/>
    <w:rsid w:val="5ECF3FA4"/>
    <w:rsid w:val="5F130DE5"/>
    <w:rsid w:val="5F964892"/>
    <w:rsid w:val="5FB578F9"/>
    <w:rsid w:val="600176AC"/>
    <w:rsid w:val="60B8378D"/>
    <w:rsid w:val="60F22670"/>
    <w:rsid w:val="617A16DC"/>
    <w:rsid w:val="61D21C45"/>
    <w:rsid w:val="627A693C"/>
    <w:rsid w:val="62D27395"/>
    <w:rsid w:val="63FC5C35"/>
    <w:rsid w:val="640A7B90"/>
    <w:rsid w:val="65F4301B"/>
    <w:rsid w:val="664A46E0"/>
    <w:rsid w:val="66DC322D"/>
    <w:rsid w:val="6796775E"/>
    <w:rsid w:val="67D84ED8"/>
    <w:rsid w:val="68500770"/>
    <w:rsid w:val="686B0051"/>
    <w:rsid w:val="687C156E"/>
    <w:rsid w:val="68E95CA0"/>
    <w:rsid w:val="68F315DE"/>
    <w:rsid w:val="69F84494"/>
    <w:rsid w:val="6AAF568C"/>
    <w:rsid w:val="6ABB6698"/>
    <w:rsid w:val="6AC30185"/>
    <w:rsid w:val="6DC12C15"/>
    <w:rsid w:val="6F2D14A1"/>
    <w:rsid w:val="6FDF24CC"/>
    <w:rsid w:val="705F045F"/>
    <w:rsid w:val="707512B1"/>
    <w:rsid w:val="7105487B"/>
    <w:rsid w:val="71490407"/>
    <w:rsid w:val="7156288B"/>
    <w:rsid w:val="72997631"/>
    <w:rsid w:val="72B61072"/>
    <w:rsid w:val="72E31671"/>
    <w:rsid w:val="73F12465"/>
    <w:rsid w:val="75531EF6"/>
    <w:rsid w:val="755A7A11"/>
    <w:rsid w:val="75CB2502"/>
    <w:rsid w:val="75D0003D"/>
    <w:rsid w:val="76147D8F"/>
    <w:rsid w:val="76BD35D3"/>
    <w:rsid w:val="783E1213"/>
    <w:rsid w:val="78F81BD5"/>
    <w:rsid w:val="79060C93"/>
    <w:rsid w:val="7A070B19"/>
    <w:rsid w:val="7B2C4C89"/>
    <w:rsid w:val="7BB11548"/>
    <w:rsid w:val="7C2C4361"/>
    <w:rsid w:val="7D6F2B41"/>
    <w:rsid w:val="7EE121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style>
  <w:style w:type="paragraph" w:styleId="3">
    <w:name w:val="Body Text Indent"/>
    <w:basedOn w:val="1"/>
    <w:link w:val="8"/>
    <w:qFormat/>
    <w:uiPriority w:val="99"/>
    <w:pPr>
      <w:ind w:firstLine="640" w:firstLineChars="200"/>
    </w:p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缩进 Char"/>
    <w:basedOn w:val="7"/>
    <w:link w:val="3"/>
    <w:semiHidden/>
    <w:qFormat/>
    <w:locked/>
    <w:uiPriority w:val="99"/>
    <w:rPr>
      <w:rFonts w:ascii="Calibri" w:hAnsi="Calibri" w:cs="Times New Roman"/>
      <w:sz w:val="24"/>
      <w:szCs w:val="24"/>
    </w:rPr>
  </w:style>
  <w:style w:type="character" w:customStyle="1" w:styleId="9">
    <w:name w:val="页脚 Char"/>
    <w:basedOn w:val="7"/>
    <w:link w:val="4"/>
    <w:semiHidden/>
    <w:qFormat/>
    <w:locked/>
    <w:uiPriority w:val="99"/>
    <w:rPr>
      <w:rFonts w:ascii="Calibri" w:hAnsi="Calibri" w:cs="Times New Roman"/>
      <w:sz w:val="18"/>
      <w:szCs w:val="18"/>
    </w:rPr>
  </w:style>
  <w:style w:type="character" w:customStyle="1" w:styleId="10">
    <w:name w:val="页眉 Char"/>
    <w:basedOn w:val="7"/>
    <w:link w:val="5"/>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C64C1-BBDB-4173-AB8D-8895862EF46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1668</Words>
  <Characters>9514</Characters>
  <Lines>79</Lines>
  <Paragraphs>22</Paragraphs>
  <TotalTime>20</TotalTime>
  <ScaleCrop>false</ScaleCrop>
  <LinksUpToDate>false</LinksUpToDate>
  <CharactersWithSpaces>11160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风轻扬</cp:lastModifiedBy>
  <cp:lastPrinted>2017-07-25T02:47:00Z</cp:lastPrinted>
  <dcterms:modified xsi:type="dcterms:W3CDTF">2022-03-03T03:09:39Z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488CFE4974004AFDA27F2F9A163A83A8</vt:lpwstr>
  </property>
</Properties>
</file>