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sz w:val="40"/>
          <w:szCs w:val="40"/>
        </w:rPr>
      </w:pPr>
      <w:r>
        <w:rPr>
          <w:rFonts w:hint="eastAsia" w:eastAsia="方正小标宋_GBK"/>
          <w:sz w:val="40"/>
          <w:szCs w:val="40"/>
        </w:rPr>
        <w:t>信阳市国民经济和社会发展</w:t>
      </w:r>
    </w:p>
    <w:p>
      <w:pPr>
        <w:spacing w:line="700" w:lineRule="exact"/>
        <w:jc w:val="center"/>
        <w:rPr>
          <w:rFonts w:eastAsia="方正小标宋_GBK"/>
          <w:sz w:val="40"/>
          <w:szCs w:val="40"/>
        </w:rPr>
      </w:pPr>
      <w:r>
        <w:rPr>
          <w:rFonts w:hint="eastAsia" w:eastAsia="方正小标宋_GBK"/>
          <w:sz w:val="40"/>
          <w:szCs w:val="40"/>
        </w:rPr>
        <w:t>第十三个五年规划纲要</w:t>
      </w:r>
    </w:p>
    <w:p>
      <w:pPr>
        <w:pStyle w:val="2"/>
        <w:spacing w:before="0" w:after="0" w:line="580" w:lineRule="exact"/>
        <w:rPr>
          <w:rFonts w:hint="eastAsia" w:eastAsia="方正小标宋_GBK"/>
          <w:sz w:val="40"/>
        </w:rPr>
      </w:pPr>
      <w:bookmarkStart w:id="0" w:name="_Toc5436"/>
    </w:p>
    <w:p>
      <w:pPr>
        <w:pStyle w:val="2"/>
        <w:spacing w:before="0" w:after="0" w:line="580" w:lineRule="exact"/>
        <w:jc w:val="center"/>
        <w:rPr>
          <w:rFonts w:eastAsia="方正小标宋_GBK"/>
          <w:sz w:val="40"/>
        </w:rPr>
      </w:pPr>
      <w:r>
        <w:rPr>
          <w:rFonts w:hint="eastAsia" w:eastAsia="方正小标宋_GBK"/>
          <w:sz w:val="40"/>
        </w:rPr>
        <w:t>序</w:t>
      </w:r>
      <w:r>
        <w:rPr>
          <w:rFonts w:eastAsia="方正小标宋_GBK"/>
          <w:sz w:val="40"/>
        </w:rPr>
        <w:t xml:space="preserve"> </w:t>
      </w:r>
      <w:r>
        <w:rPr>
          <w:rFonts w:hint="eastAsia" w:eastAsia="方正小标宋_GBK"/>
          <w:sz w:val="40"/>
        </w:rPr>
        <w:t xml:space="preserve">  言</w:t>
      </w:r>
      <w:bookmarkEnd w:id="0"/>
    </w:p>
    <w:p>
      <w:pPr>
        <w:spacing w:line="580" w:lineRule="exact"/>
      </w:pPr>
    </w:p>
    <w:p>
      <w:pPr>
        <w:spacing w:line="580" w:lineRule="exact"/>
        <w:ind w:firstLine="632" w:firstLineChars="200"/>
      </w:pPr>
      <w:r>
        <w:rPr>
          <w:rFonts w:hint="eastAsia"/>
        </w:rPr>
        <w:t>“十三五”时期（</w:t>
      </w:r>
      <w:r>
        <w:t>2016—2020</w:t>
      </w:r>
      <w:r>
        <w:rPr>
          <w:rFonts w:hint="eastAsia"/>
        </w:rPr>
        <w:t>年），是以“四个全面”战略布局为总引领，全面建成小康社会的决战时期、全面深化改革的攻坚时期、全面推进依法治国和全面从严治党的关键时期，也是我们党“两个百年”奋斗目标中第一个百年目标的实现时期。《信阳市国民经济和社会发展第十三个五年规划纲要》根据《中共信阳市委关于制定信阳市国民经济和社会发展第十三个五年规划的建议》编制，主要阐明规划期内政府的发展理念、战略意图、工作重点及政策取向，是今后五年全市经济社会发展的宏伟蓝图，是政府履行职责的重要依据，是引导市场主体行为的重要指南，是全市人民共同奋斗的行动纲领。</w:t>
      </w:r>
    </w:p>
    <w:p>
      <w:pPr>
        <w:pStyle w:val="2"/>
        <w:spacing w:line="580" w:lineRule="exact"/>
        <w:jc w:val="center"/>
      </w:pPr>
      <w:bookmarkStart w:id="1" w:name="_Toc424139935"/>
      <w:r>
        <w:br w:type="page"/>
      </w:r>
      <w:bookmarkStart w:id="2" w:name="_Toc4702"/>
      <w:r>
        <w:rPr>
          <w:rFonts w:hint="eastAsia"/>
        </w:rPr>
        <w:t>第一篇</w:t>
      </w:r>
      <w:r>
        <w:t xml:space="preserve">  </w:t>
      </w:r>
      <w:r>
        <w:rPr>
          <w:rFonts w:hint="eastAsia"/>
        </w:rPr>
        <w:t>全面建成小康社会</w:t>
      </w:r>
      <w:bookmarkEnd w:id="1"/>
      <w:bookmarkEnd w:id="2"/>
    </w:p>
    <w:p>
      <w:pPr>
        <w:spacing w:line="580" w:lineRule="exact"/>
        <w:ind w:firstLine="632" w:firstLineChars="200"/>
        <w:rPr>
          <w:kern w:val="0"/>
          <w:sz w:val="24"/>
          <w:szCs w:val="24"/>
        </w:rPr>
      </w:pPr>
      <w:r>
        <w:rPr>
          <w:rFonts w:hint="eastAsia"/>
        </w:rPr>
        <w:t>“十三五”时期，要充分利用我市良好的发展基础和形势环境，坚持创新、协调、绿色、开放、共享的发展理念，持续求进，务实发展，全面建成小康社会。</w:t>
      </w:r>
      <w:r>
        <w:t xml:space="preserve"> </w:t>
      </w:r>
    </w:p>
    <w:p>
      <w:pPr>
        <w:pStyle w:val="3"/>
        <w:spacing w:before="0" w:after="0" w:line="580" w:lineRule="exact"/>
        <w:jc w:val="center"/>
        <w:rPr>
          <w:rFonts w:ascii="Times New Roman" w:hAnsi="Times New Roman" w:eastAsia="方正楷体_GBK" w:cs="Times New Roman"/>
        </w:rPr>
      </w:pPr>
      <w:bookmarkStart w:id="3" w:name="_Toc435797082"/>
      <w:bookmarkStart w:id="4" w:name="_Toc8650"/>
      <w:bookmarkStart w:id="5" w:name="_Toc424139936"/>
      <w:r>
        <w:rPr>
          <w:rFonts w:hint="eastAsia" w:ascii="Times New Roman" w:hAnsi="Times New Roman" w:eastAsia="方正楷体_GBK" w:cs="Times New Roman"/>
        </w:rPr>
        <w:t>第一章</w:t>
      </w:r>
      <w:r>
        <w:rPr>
          <w:rFonts w:ascii="Times New Roman" w:hAnsi="Times New Roman" w:eastAsia="方正楷体_GBK" w:cs="Times New Roman"/>
        </w:rPr>
        <w:t xml:space="preserve">  </w:t>
      </w:r>
      <w:r>
        <w:rPr>
          <w:rFonts w:hint="eastAsia" w:ascii="Times New Roman" w:hAnsi="Times New Roman" w:eastAsia="方正楷体_GBK" w:cs="Times New Roman"/>
        </w:rPr>
        <w:t>发展基础和形势环境</w:t>
      </w:r>
      <w:bookmarkEnd w:id="3"/>
      <w:bookmarkEnd w:id="4"/>
    </w:p>
    <w:p>
      <w:pPr>
        <w:spacing w:line="580" w:lineRule="exact"/>
        <w:ind w:firstLine="632" w:firstLineChars="200"/>
      </w:pPr>
      <w:bookmarkStart w:id="6" w:name="_Toc435797083"/>
      <w:r>
        <w:rPr>
          <w:rFonts w:hint="eastAsia"/>
        </w:rPr>
        <w:t>在“十三五”时期国内和省内发展环境发生深刻变化的条件下，全面评估“十二五”规划的实施情况，准确把握我市发展所面临的基本趋势和新情况新问题，是谋划好“十三五”时期我市经济社会发展的基础和前提。</w:t>
      </w:r>
    </w:p>
    <w:p>
      <w:pPr>
        <w:pStyle w:val="4"/>
        <w:spacing w:before="0" w:after="0" w:line="580" w:lineRule="exact"/>
        <w:jc w:val="center"/>
        <w:rPr>
          <w:rFonts w:eastAsia="方正仿宋_GBK"/>
        </w:rPr>
      </w:pPr>
      <w:bookmarkStart w:id="7" w:name="_Toc18687"/>
      <w:r>
        <w:rPr>
          <w:rFonts w:hint="eastAsia" w:eastAsia="方正仿宋_GBK"/>
        </w:rPr>
        <w:t>第一节</w:t>
      </w:r>
      <w:r>
        <w:rPr>
          <w:rFonts w:eastAsia="方正仿宋_GBK"/>
        </w:rPr>
        <w:t xml:space="preserve"> </w:t>
      </w:r>
      <w:r>
        <w:rPr>
          <w:rFonts w:hint="eastAsia" w:eastAsia="方正仿宋_GBK"/>
        </w:rPr>
        <w:t>“十二五”时期</w:t>
      </w:r>
      <w:bookmarkEnd w:id="5"/>
      <w:r>
        <w:rPr>
          <w:rFonts w:hint="eastAsia" w:eastAsia="方正仿宋_GBK"/>
        </w:rPr>
        <w:t>取得的重大成就</w:t>
      </w:r>
      <w:bookmarkEnd w:id="6"/>
      <w:r>
        <w:rPr>
          <w:rFonts w:hint="eastAsia" w:eastAsia="方正仿宋_GBK"/>
        </w:rPr>
        <w:t>和基本经验</w:t>
      </w:r>
      <w:bookmarkEnd w:id="7"/>
    </w:p>
    <w:p>
      <w:pPr>
        <w:spacing w:line="580" w:lineRule="exact"/>
        <w:ind w:firstLine="632" w:firstLineChars="200"/>
      </w:pPr>
      <w:r>
        <w:rPr>
          <w:rFonts w:hint="eastAsia"/>
        </w:rPr>
        <w:t>“十二五”时期是信阳经济社会发展极不平凡的五年。五年来，面对严峻复杂的外部环境和艰巨繁重的改革发展任务，市委、市政府团结带领全市人民，充分发挥前沿、生态、民智三大优势，主动适应经济发展新常态，攻坚克难，砥砺奋进，胜利完成</w:t>
      </w:r>
      <w:r>
        <w:t>“</w:t>
      </w:r>
      <w:r>
        <w:rPr>
          <w:rFonts w:hint="eastAsia"/>
        </w:rPr>
        <w:t>十二五</w:t>
      </w:r>
      <w:r>
        <w:t>”</w:t>
      </w:r>
      <w:r>
        <w:rPr>
          <w:rFonts w:hint="eastAsia"/>
        </w:rPr>
        <w:t>规划的主要目标和任务。我市跨入加快发展的新阶段，站上蓄势崛起的新起点。</w:t>
      </w:r>
    </w:p>
    <w:p>
      <w:pPr>
        <w:spacing w:line="580" w:lineRule="exact"/>
        <w:ind w:firstLine="634" w:firstLineChars="200"/>
      </w:pPr>
      <w:r>
        <w:rPr>
          <w:rFonts w:hint="eastAsia"/>
          <w:b/>
          <w:bCs/>
          <w:color w:val="000000"/>
        </w:rPr>
        <w:t>综合实力显著提升。</w:t>
      </w:r>
      <w:r>
        <w:rPr>
          <w:rFonts w:hint="eastAsia"/>
        </w:rPr>
        <w:t>初步核算，</w:t>
      </w:r>
      <w:r>
        <w:t>2015</w:t>
      </w:r>
      <w:r>
        <w:rPr>
          <w:rFonts w:hint="eastAsia"/>
        </w:rPr>
        <w:t>年全市生产总值达到</w:t>
      </w:r>
      <w:r>
        <w:t>1877.8</w:t>
      </w:r>
      <w:r>
        <w:rPr>
          <w:rFonts w:hint="eastAsia"/>
        </w:rPr>
        <w:t>亿元，“十二五”期间年均增长</w:t>
      </w:r>
      <w:r>
        <w:t>9.7%</w:t>
      </w:r>
      <w:r>
        <w:rPr>
          <w:rFonts w:hint="eastAsia"/>
        </w:rPr>
        <w:t>，总量在全省排第九位，跻身全省第二方阵；财政一般公共预算收入</w:t>
      </w:r>
      <w:r>
        <w:t>91.0</w:t>
      </w:r>
      <w:r>
        <w:rPr>
          <w:rFonts w:hint="eastAsia"/>
        </w:rPr>
        <w:t>亿元，是</w:t>
      </w:r>
      <w:r>
        <w:t>2010</w:t>
      </w:r>
      <w:r>
        <w:rPr>
          <w:rFonts w:hint="eastAsia"/>
        </w:rPr>
        <w:t>年的</w:t>
      </w:r>
      <w:r>
        <w:t>2.7</w:t>
      </w:r>
      <w:r>
        <w:rPr>
          <w:rFonts w:hint="eastAsia"/>
        </w:rPr>
        <w:t>倍；一般公共预算支出</w:t>
      </w:r>
      <w:r>
        <w:t>374.0</w:t>
      </w:r>
      <w:r>
        <w:rPr>
          <w:rFonts w:hint="eastAsia"/>
        </w:rPr>
        <w:t>亿元，是</w:t>
      </w:r>
      <w:r>
        <w:t>2010</w:t>
      </w:r>
      <w:r>
        <w:rPr>
          <w:rFonts w:hint="eastAsia"/>
        </w:rPr>
        <w:t>年的</w:t>
      </w:r>
      <w:r>
        <w:t>2.2</w:t>
      </w:r>
      <w:r>
        <w:rPr>
          <w:rFonts w:hint="eastAsia"/>
        </w:rPr>
        <w:t>倍；全社会固定资产投资达到</w:t>
      </w:r>
      <w:r>
        <w:t>2085.3</w:t>
      </w:r>
      <w:r>
        <w:rPr>
          <w:rFonts w:hint="eastAsia"/>
        </w:rPr>
        <w:t>亿元，是</w:t>
      </w:r>
      <w:r>
        <w:t>2010</w:t>
      </w:r>
      <w:r>
        <w:rPr>
          <w:rFonts w:hint="eastAsia"/>
        </w:rPr>
        <w:t>年的</w:t>
      </w:r>
      <w:r>
        <w:t>2.6</w:t>
      </w:r>
      <w:r>
        <w:rPr>
          <w:rFonts w:hint="eastAsia"/>
        </w:rPr>
        <w:t>倍，投资规模稳居全省第四位；交通银行、民生银行等多家金融机构入驻，金融机构存贷款余额居全省前列，均是</w:t>
      </w:r>
      <w:r>
        <w:t>2010</w:t>
      </w:r>
      <w:r>
        <w:rPr>
          <w:rFonts w:hint="eastAsia"/>
        </w:rPr>
        <w:t>年的</w:t>
      </w:r>
      <w:r>
        <w:t>2.3</w:t>
      </w:r>
      <w:r>
        <w:rPr>
          <w:rFonts w:hint="eastAsia"/>
        </w:rPr>
        <w:t>倍，存贷比大幅提高；现代农业稳步发展，粮食总产量达</w:t>
      </w:r>
      <w:r>
        <w:t>119.4</w:t>
      </w:r>
      <w:r>
        <w:rPr>
          <w:rFonts w:hint="eastAsia"/>
        </w:rPr>
        <w:t>亿斤，实现“十二连增”。</w:t>
      </w:r>
    </w:p>
    <w:p>
      <w:pPr>
        <w:spacing w:line="580" w:lineRule="exact"/>
        <w:ind w:firstLine="634" w:firstLineChars="200"/>
      </w:pPr>
      <w:r>
        <w:rPr>
          <w:rFonts w:hint="eastAsia"/>
          <w:b/>
          <w:bCs/>
          <w:color w:val="000000"/>
        </w:rPr>
        <w:t>发展动力加快转换。</w:t>
      </w:r>
      <w:r>
        <w:rPr>
          <w:rFonts w:hint="eastAsia"/>
        </w:rPr>
        <w:t>由工业化初期迈入中期门槛，工业带动能力明显增强。“十二五”时期，全市工业投资累计完成</w:t>
      </w:r>
      <w:r>
        <w:t>2782.1</w:t>
      </w:r>
      <w:r>
        <w:rPr>
          <w:rFonts w:hint="eastAsia"/>
        </w:rPr>
        <w:t>亿元，是“十一五”的</w:t>
      </w:r>
      <w:r>
        <w:t>4.1</w:t>
      </w:r>
      <w:r>
        <w:rPr>
          <w:rFonts w:hint="eastAsia"/>
        </w:rPr>
        <w:t>倍；工业增加值年均增长</w:t>
      </w:r>
      <w:r>
        <w:t>12.5%</w:t>
      </w:r>
      <w:r>
        <w:rPr>
          <w:rFonts w:hint="eastAsia"/>
        </w:rPr>
        <w:t>，</w:t>
      </w:r>
      <w:r>
        <w:t>2015</w:t>
      </w:r>
      <w:r>
        <w:rPr>
          <w:rFonts w:hint="eastAsia"/>
        </w:rPr>
        <w:t>年达</w:t>
      </w:r>
      <w:r>
        <w:t>618.0</w:t>
      </w:r>
      <w:r>
        <w:rPr>
          <w:rFonts w:hint="eastAsia"/>
        </w:rPr>
        <w:t>亿元，是</w:t>
      </w:r>
      <w:r>
        <w:t>2010</w:t>
      </w:r>
      <w:r>
        <w:rPr>
          <w:rFonts w:hint="eastAsia"/>
        </w:rPr>
        <w:t>年的</w:t>
      </w:r>
      <w:r>
        <w:t>1.8</w:t>
      </w:r>
      <w:r>
        <w:rPr>
          <w:rFonts w:hint="eastAsia"/>
        </w:rPr>
        <w:t>倍。产业集聚区和服务业两区持续壮大，电子信息、新型建材、绿色食品、纺织服装等主导产业初具规模，现代家居、现代物流等产业集群集聚态势正在形成，成为拉动经济增长的主导力量。全市</w:t>
      </w:r>
      <w:r>
        <w:t>13</w:t>
      </w:r>
      <w:r>
        <w:rPr>
          <w:rFonts w:hint="eastAsia"/>
        </w:rPr>
        <w:t>个产业集聚区规模以上工业企业达</w:t>
      </w:r>
      <w:r>
        <w:t>650</w:t>
      </w:r>
      <w:r>
        <w:rPr>
          <w:rFonts w:hint="eastAsia"/>
        </w:rPr>
        <w:t>家，规模以上工业增加值、主营业务收入分别占到全市工业的八成左右。新增国家级高新技术企业</w:t>
      </w:r>
      <w:r>
        <w:t>18</w:t>
      </w:r>
      <w:r>
        <w:rPr>
          <w:rFonts w:hint="eastAsia"/>
        </w:rPr>
        <w:t>家，创建院士工作站</w:t>
      </w:r>
      <w:r>
        <w:t>7</w:t>
      </w:r>
      <w:r>
        <w:rPr>
          <w:rFonts w:hint="eastAsia"/>
        </w:rPr>
        <w:t>家，组建国家稻米精深加工创新战略联盟，创新驱动明显增强。</w:t>
      </w:r>
      <w:r>
        <w:t>2015</w:t>
      </w:r>
      <w:r>
        <w:rPr>
          <w:rFonts w:hint="eastAsia"/>
        </w:rPr>
        <w:t>年第三产业增加值占生产总值比重达</w:t>
      </w:r>
      <w:r>
        <w:t>35.6%</w:t>
      </w:r>
      <w:r>
        <w:rPr>
          <w:rFonts w:hint="eastAsia"/>
        </w:rPr>
        <w:t>，比</w:t>
      </w:r>
      <w:r>
        <w:t>2010</w:t>
      </w:r>
      <w:r>
        <w:rPr>
          <w:rFonts w:hint="eastAsia"/>
        </w:rPr>
        <w:t>年提高</w:t>
      </w:r>
      <w:r>
        <w:t>4.2</w:t>
      </w:r>
      <w:r>
        <w:rPr>
          <w:rFonts w:hint="eastAsia"/>
        </w:rPr>
        <w:t>个百分点，对经济增长的贡献率达</w:t>
      </w:r>
      <w:r>
        <w:t>37%</w:t>
      </w:r>
      <w:r>
        <w:rPr>
          <w:rFonts w:hint="eastAsia"/>
        </w:rPr>
        <w:t>左右；以鄂豫皖一日达为代表的电商物流等新产业、新业态发展势头迅猛，</w:t>
      </w:r>
      <w:r>
        <w:t>2015</w:t>
      </w:r>
      <w:r>
        <w:rPr>
          <w:rFonts w:hint="eastAsia"/>
        </w:rPr>
        <w:t>年全市规模以上快递服务企业业务量累计完成</w:t>
      </w:r>
      <w:r>
        <w:t>1277.4</w:t>
      </w:r>
      <w:r>
        <w:rPr>
          <w:rFonts w:hint="eastAsia"/>
        </w:rPr>
        <w:t>万件，同比增长</w:t>
      </w:r>
      <w:r>
        <w:t>74.9%</w:t>
      </w:r>
      <w:r>
        <w:rPr>
          <w:rFonts w:hint="eastAsia"/>
        </w:rPr>
        <w:t>。全面深化改革有力有序推进，国家农村改革试验区获批实施；行政审批制度改革强力推进，市级行政审批项目削减到</w:t>
      </w:r>
      <w:r>
        <w:t>121</w:t>
      </w:r>
      <w:r>
        <w:rPr>
          <w:rFonts w:hint="eastAsia"/>
        </w:rPr>
        <w:t>项，为全省最少的省辖市之一；商事登记制度改革全面推开，市场主体数量快速增长，文化、教育、卫生、司法、财税、交通、水利等重点改革事项稳步推进。</w:t>
      </w:r>
    </w:p>
    <w:p>
      <w:pPr>
        <w:spacing w:line="580" w:lineRule="exact"/>
        <w:ind w:firstLine="634" w:firstLineChars="200"/>
      </w:pPr>
      <w:r>
        <w:rPr>
          <w:rFonts w:hint="eastAsia"/>
          <w:b/>
          <w:bCs/>
          <w:color w:val="000000"/>
        </w:rPr>
        <w:t>厚植优势支撑有力。</w:t>
      </w:r>
      <w:r>
        <w:rPr>
          <w:rFonts w:hint="eastAsia"/>
        </w:rPr>
        <w:t>京广高铁开通，我市拥有</w:t>
      </w:r>
      <w:r>
        <w:t>2</w:t>
      </w:r>
      <w:r>
        <w:rPr>
          <w:rFonts w:hint="eastAsia"/>
        </w:rPr>
        <w:t>个站点，宁西铁路复线电气化改造工程基本完成；息淮固高速公路建成通车，京港澳高速公路及</w:t>
      </w:r>
      <w:r>
        <w:t>G312</w:t>
      </w:r>
      <w:r>
        <w:rPr>
          <w:rFonts w:hint="eastAsia"/>
        </w:rPr>
        <w:t>、</w:t>
      </w:r>
      <w:r>
        <w:t>G107</w:t>
      </w:r>
      <w:r>
        <w:rPr>
          <w:rFonts w:hint="eastAsia"/>
        </w:rPr>
        <w:t>改扩建工程基本完成；明港机场开工建设；淮河航运基础设施建设得到加强，全省最大的内陆港淮滨港吞吐能力大幅提升，铁路、公路、航空、水运立体综合交通网络体系正在形成。</w:t>
      </w:r>
      <w:r>
        <w:t>500</w:t>
      </w:r>
      <w:r>
        <w:rPr>
          <w:rFonts w:hint="eastAsia"/>
        </w:rPr>
        <w:t>千伏信阳东输变电工程成功投运，出山店水库开工建设，基础支撑能力显著增强。持续实施“四一”招商行动，成功举办“中国光彩事业信阳行”活动和第十届豫商大会，积极承接产业转移，集团化体系化引进一批补齐现代化产业链的企业和项目，产业集聚效应已经凸显。国际家居产业小镇、电子信息产业集聚示范区和义乌国际商贸城“三件大事”加快推进，电子信息产业集聚示范区被命名为“河南省电子信息产业集聚示范区”和“中国手机产业基地”，国际家居产业小镇被命名为“中国（信阳）新兴家居产业基地”，信阳市上天梯产业集聚区被国家科技部命名为“信阳国家绿色建材高新技术产业化基地”。金牛物流产业集聚区荣获“中国电子商务物流服务模式创新奖”。信阳海关建成通关，进出口更加便捷。累计进出口</w:t>
      </w:r>
      <w:r>
        <w:t>32.7</w:t>
      </w:r>
      <w:r>
        <w:rPr>
          <w:rFonts w:hint="eastAsia"/>
        </w:rPr>
        <w:t>亿美元，是“十一五”时期的</w:t>
      </w:r>
      <w:r>
        <w:t>3.6</w:t>
      </w:r>
      <w:r>
        <w:rPr>
          <w:rFonts w:hint="eastAsia"/>
        </w:rPr>
        <w:t>倍；</w:t>
      </w:r>
      <w:r>
        <w:t>2015</w:t>
      </w:r>
      <w:r>
        <w:rPr>
          <w:rFonts w:hint="eastAsia"/>
        </w:rPr>
        <w:t>年出口额是</w:t>
      </w:r>
      <w:r>
        <w:t>2010</w:t>
      </w:r>
      <w:r>
        <w:rPr>
          <w:rFonts w:hint="eastAsia"/>
        </w:rPr>
        <w:t>年的</w:t>
      </w:r>
      <w:r>
        <w:t>3.2</w:t>
      </w:r>
      <w:r>
        <w:rPr>
          <w:rFonts w:hint="eastAsia"/>
        </w:rPr>
        <w:t>倍。深入谋划重大专项，《大别山革命老区振兴发展规划》正式获批。</w:t>
      </w:r>
    </w:p>
    <w:p>
      <w:pPr>
        <w:adjustRightInd w:val="0"/>
        <w:spacing w:line="580" w:lineRule="exact"/>
        <w:ind w:firstLine="634" w:firstLineChars="200"/>
        <w:rPr>
          <w:color w:val="000000"/>
        </w:rPr>
      </w:pPr>
      <w:r>
        <w:rPr>
          <w:rFonts w:hint="eastAsia"/>
          <w:b/>
          <w:bCs/>
          <w:color w:val="000000"/>
        </w:rPr>
        <w:t>城乡面貌明显改善。</w:t>
      </w:r>
      <w:r>
        <w:rPr>
          <w:rFonts w:hint="eastAsia"/>
          <w:color w:val="000000"/>
        </w:rPr>
        <w:t>新型城镇化步伐加快，中心城区、县城和中心镇稳步发展，区域性中心城市带动力增强，城镇化水平不断提高。“十二五”末，全市常住人口城镇化率达到</w:t>
      </w:r>
      <w:r>
        <w:rPr>
          <w:color w:val="000000"/>
        </w:rPr>
        <w:t>42.8%</w:t>
      </w:r>
      <w:r>
        <w:rPr>
          <w:rFonts w:hint="eastAsia"/>
          <w:color w:val="000000"/>
        </w:rPr>
        <w:t>，比“十一五”末提高了</w:t>
      </w:r>
      <w:r>
        <w:rPr>
          <w:color w:val="000000"/>
        </w:rPr>
        <w:t>8.4</w:t>
      </w:r>
      <w:r>
        <w:rPr>
          <w:rFonts w:hint="eastAsia"/>
          <w:color w:val="000000"/>
        </w:rPr>
        <w:t>个百分点。信阳电子信息产业集聚示范区、城乡一体化示范区获准设立，服务和承载能力不断增强。生态文明建设持续加强，在全省率先出台并严格执行《信阳市产业发展和区域开发环境保护准入负面清单》。</w:t>
      </w:r>
      <w:r>
        <w:rPr>
          <w:color w:val="000000"/>
        </w:rPr>
        <w:t>2015</w:t>
      </w:r>
      <w:r>
        <w:rPr>
          <w:rFonts w:hint="eastAsia"/>
          <w:color w:val="000000"/>
        </w:rPr>
        <w:t>年，全市森林覆盖率达到</w:t>
      </w:r>
      <w:r>
        <w:rPr>
          <w:color w:val="000000"/>
        </w:rPr>
        <w:t>36.11%</w:t>
      </w:r>
      <w:r>
        <w:rPr>
          <w:rFonts w:hint="eastAsia"/>
          <w:color w:val="000000"/>
        </w:rPr>
        <w:t>，比</w:t>
      </w:r>
      <w:r>
        <w:rPr>
          <w:color w:val="000000"/>
        </w:rPr>
        <w:t>2010</w:t>
      </w:r>
      <w:r>
        <w:rPr>
          <w:rFonts w:hint="eastAsia"/>
          <w:color w:val="000000"/>
        </w:rPr>
        <w:t>年提高了</w:t>
      </w:r>
      <w:r>
        <w:rPr>
          <w:color w:val="000000"/>
        </w:rPr>
        <w:t>1.67</w:t>
      </w:r>
      <w:r>
        <w:rPr>
          <w:rFonts w:hint="eastAsia"/>
          <w:color w:val="000000"/>
        </w:rPr>
        <w:t>个百分点，水环境质量和空气质量多年来一直位居全省前列，信阳被确定为国家主体功能区建设试点示范市，南湾、黄柏山国家森林公园入选全国首批“森林氧吧”。美丽乡村建设扎实推进，一批乡村被评为最美乡镇、全国美丽宜居小镇村庄示范、国家生态乡镇和特色景观旅游名镇名村，郝堂村成为我省唯一入选第一批“全国美丽宜居村庄示范”的乡村。信阳的知名度、美誉度和影响力提升，先后被命名为国家卫生城市、国家级生态示范市、国家园林城市和河南省文明城市，连续</w:t>
      </w:r>
      <w:r>
        <w:rPr>
          <w:color w:val="000000"/>
        </w:rPr>
        <w:t>7</w:t>
      </w:r>
      <w:r>
        <w:rPr>
          <w:rFonts w:hint="eastAsia"/>
          <w:color w:val="000000"/>
        </w:rPr>
        <w:t>年荣获中国十佳宜居城市，连续</w:t>
      </w:r>
      <w:r>
        <w:rPr>
          <w:color w:val="000000"/>
        </w:rPr>
        <w:t>5</w:t>
      </w:r>
      <w:r>
        <w:rPr>
          <w:rFonts w:hint="eastAsia"/>
          <w:color w:val="000000"/>
        </w:rPr>
        <w:t>年荣获中国最具幸福感城市。</w:t>
      </w:r>
    </w:p>
    <w:p>
      <w:pPr>
        <w:adjustRightInd w:val="0"/>
        <w:spacing w:line="580" w:lineRule="exact"/>
        <w:ind w:firstLine="634" w:firstLineChars="200"/>
        <w:rPr>
          <w:color w:val="000000"/>
        </w:rPr>
      </w:pPr>
      <w:r>
        <w:rPr>
          <w:rFonts w:hint="eastAsia"/>
          <w:b/>
          <w:bCs/>
          <w:color w:val="000000"/>
        </w:rPr>
        <w:t>各项事业全面进步。</w:t>
      </w:r>
      <w:r>
        <w:rPr>
          <w:rFonts w:hint="eastAsia"/>
          <w:color w:val="000000"/>
        </w:rPr>
        <w:t>城镇居民人均可支配收入、农民人均纯收入分别达到</w:t>
      </w:r>
      <w:r>
        <w:rPr>
          <w:color w:val="000000"/>
        </w:rPr>
        <w:t>22434</w:t>
      </w:r>
      <w:r>
        <w:rPr>
          <w:rFonts w:hint="eastAsia"/>
          <w:color w:val="000000"/>
        </w:rPr>
        <w:t>元和</w:t>
      </w:r>
      <w:r>
        <w:rPr>
          <w:color w:val="000000"/>
        </w:rPr>
        <w:t>9844</w:t>
      </w:r>
      <w:r>
        <w:rPr>
          <w:rFonts w:hint="eastAsia"/>
          <w:color w:val="000000"/>
        </w:rPr>
        <w:t>元，年均增长达</w:t>
      </w:r>
      <w:r>
        <w:rPr>
          <w:color w:val="000000"/>
        </w:rPr>
        <w:t>12%</w:t>
      </w:r>
      <w:r>
        <w:rPr>
          <w:rFonts w:hint="eastAsia"/>
          <w:color w:val="000000"/>
        </w:rPr>
        <w:t>和</w:t>
      </w:r>
      <w:r>
        <w:rPr>
          <w:color w:val="000000"/>
        </w:rPr>
        <w:t>13.7%</w:t>
      </w:r>
      <w:r>
        <w:rPr>
          <w:rFonts w:hint="eastAsia"/>
          <w:color w:val="000000"/>
        </w:rPr>
        <w:t>；居民存款大幅增加，</w:t>
      </w:r>
      <w:r>
        <w:rPr>
          <w:color w:val="000000"/>
        </w:rPr>
        <w:t>2015</w:t>
      </w:r>
      <w:r>
        <w:rPr>
          <w:rFonts w:hint="eastAsia"/>
          <w:color w:val="000000"/>
        </w:rPr>
        <w:t>年达</w:t>
      </w:r>
      <w:r>
        <w:rPr>
          <w:color w:val="000000"/>
        </w:rPr>
        <w:t>1706</w:t>
      </w:r>
      <w:r>
        <w:rPr>
          <w:rFonts w:hint="eastAsia"/>
          <w:color w:val="000000"/>
        </w:rPr>
        <w:t>亿元，比</w:t>
      </w:r>
      <w:r>
        <w:rPr>
          <w:color w:val="000000"/>
        </w:rPr>
        <w:t>2010</w:t>
      </w:r>
      <w:r>
        <w:rPr>
          <w:rFonts w:hint="eastAsia"/>
          <w:color w:val="000000"/>
        </w:rPr>
        <w:t>年增长</w:t>
      </w:r>
      <w:r>
        <w:rPr>
          <w:color w:val="000000"/>
        </w:rPr>
        <w:t>1.2</w:t>
      </w:r>
      <w:r>
        <w:rPr>
          <w:rFonts w:hint="eastAsia"/>
          <w:color w:val="000000"/>
        </w:rPr>
        <w:t>倍；精准扶贫深入实施，“转、扶、搬、保、救”五项措施得到较好落实，五年实现</w:t>
      </w:r>
      <w:r>
        <w:rPr>
          <w:color w:val="000000"/>
        </w:rPr>
        <w:t>64.3</w:t>
      </w:r>
      <w:r>
        <w:rPr>
          <w:rFonts w:hint="eastAsia"/>
          <w:color w:val="000000"/>
        </w:rPr>
        <w:t>万贫困人口稳定脱贫。教育事业得到优先发展，基础教育进一步加强，高中教育质量连续多年在全省保持领先，空军招录飞行员人数连续三年位居全国地级市第一，职业技能培训力度加大，信阳农林学院成功升本，信阳学院获准成立，本科院校达到</w:t>
      </w:r>
      <w:r>
        <w:rPr>
          <w:color w:val="000000"/>
        </w:rPr>
        <w:t>4</w:t>
      </w:r>
      <w:r>
        <w:rPr>
          <w:rFonts w:hint="eastAsia"/>
          <w:color w:val="000000"/>
        </w:rPr>
        <w:t>所。大别山干部学院建成使用，成为省委重点建设的三所干部学院之一。城乡低保、特困人员供养、医疗救助、大病救助走在全省前列，医疗和社会保障水平持续提升。</w:t>
      </w:r>
    </w:p>
    <w:p>
      <w:pPr>
        <w:adjustRightInd w:val="0"/>
        <w:spacing w:line="580" w:lineRule="exact"/>
        <w:ind w:firstLine="634" w:firstLineChars="200"/>
        <w:rPr>
          <w:color w:val="000000"/>
        </w:rPr>
      </w:pPr>
      <w:r>
        <w:rPr>
          <w:rFonts w:hint="eastAsia"/>
          <w:b/>
          <w:bCs/>
          <w:color w:val="000000"/>
        </w:rPr>
        <w:t>精神风貌积极向上。</w:t>
      </w:r>
      <w:r>
        <w:rPr>
          <w:rFonts w:hint="eastAsia"/>
          <w:color w:val="000000"/>
        </w:rPr>
        <w:t>党的建设持续加强，群众路线教育实践活动取得实效，“三严三实”专题教育扎实推进，党风廉政建设和反腐败斗争深入开展，党风政风明显好转。全面依法治市深入推进，运用法治思维和法治方式推动发展更加深入人心，率先建立的互联网民声手机短信平台发挥了良好效果，党群干群关系持续改善，社会大局和谐稳定。精神文明建设深入开展，社会主义核心价值观得到弘扬，涌现出黄久生、许光等一批道德模范和身边好人、行业标兵，社会风气明显好转。五年来，全市广大党员干部加快发展的意识进一步增强，推动发展的能力进一步提升，精神面貌积极向上，形成了比行动、比劲头、比效率、比合力、比收获的良好氛围，汇聚起加快发展的强大正能量。</w:t>
      </w:r>
    </w:p>
    <w:tbl>
      <w:tblPr>
        <w:tblStyle w:val="7"/>
        <w:tblW w:w="8319" w:type="dxa"/>
        <w:jc w:val="center"/>
        <w:tblInd w:w="0" w:type="dxa"/>
        <w:tblLayout w:type="fixed"/>
        <w:tblCellMar>
          <w:top w:w="0" w:type="dxa"/>
          <w:left w:w="0" w:type="dxa"/>
          <w:bottom w:w="0" w:type="dxa"/>
          <w:right w:w="0" w:type="dxa"/>
        </w:tblCellMar>
      </w:tblPr>
      <w:tblGrid>
        <w:gridCol w:w="288"/>
        <w:gridCol w:w="1020"/>
        <w:gridCol w:w="1446"/>
        <w:gridCol w:w="9"/>
        <w:gridCol w:w="750"/>
        <w:gridCol w:w="36"/>
        <w:gridCol w:w="903"/>
        <w:gridCol w:w="11"/>
        <w:gridCol w:w="1569"/>
        <w:gridCol w:w="8"/>
        <w:gridCol w:w="1724"/>
        <w:gridCol w:w="20"/>
        <w:gridCol w:w="535"/>
      </w:tblGrid>
      <w:tr>
        <w:tblPrEx>
          <w:tblLayout w:type="fixed"/>
          <w:tblCellMar>
            <w:top w:w="0" w:type="dxa"/>
            <w:left w:w="0" w:type="dxa"/>
            <w:bottom w:w="0" w:type="dxa"/>
            <w:right w:w="0" w:type="dxa"/>
          </w:tblCellMar>
        </w:tblPrEx>
        <w:trPr>
          <w:trHeight w:val="398"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textAlignment w:val="center"/>
              <w:rPr>
                <w:rFonts w:eastAsia="方正小标宋_GBK"/>
                <w:sz w:val="28"/>
                <w:szCs w:val="24"/>
              </w:rPr>
            </w:pPr>
            <w:r>
              <w:rPr>
                <w:rFonts w:hint="eastAsia" w:eastAsia="方正小标宋_GBK"/>
                <w:sz w:val="28"/>
                <w:szCs w:val="24"/>
              </w:rPr>
              <w:t>专栏</w:t>
            </w:r>
            <w:r>
              <w:rPr>
                <w:rFonts w:eastAsia="方正小标宋_GBK"/>
                <w:sz w:val="28"/>
                <w:szCs w:val="24"/>
              </w:rPr>
              <w:t>1</w:t>
            </w:r>
            <w:r>
              <w:rPr>
                <w:rFonts w:hint="eastAsia" w:eastAsia="方正小标宋_GBK"/>
                <w:sz w:val="28"/>
                <w:szCs w:val="24"/>
              </w:rPr>
              <w:t>：“十二五”期间主要目标完成情况</w:t>
            </w:r>
          </w:p>
        </w:tc>
      </w:tr>
      <w:tr>
        <w:tblPrEx>
          <w:tblLayout w:type="fixed"/>
          <w:tblCellMar>
            <w:top w:w="0" w:type="dxa"/>
            <w:left w:w="0" w:type="dxa"/>
            <w:bottom w:w="0" w:type="dxa"/>
            <w:right w:w="0" w:type="dxa"/>
          </w:tblCellMar>
        </w:tblPrEx>
        <w:trPr>
          <w:cantSplit/>
          <w:trHeight w:val="250" w:hRule="atLeast"/>
          <w:jc w:val="center"/>
        </w:trPr>
        <w:tc>
          <w:tcPr>
            <w:tcW w:w="2763" w:type="dxa"/>
            <w:gridSpan w:val="4"/>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hint="eastAsia" w:eastAsia="黑体"/>
                <w:sz w:val="24"/>
                <w:szCs w:val="24"/>
              </w:rPr>
              <w:t>指标名称</w:t>
            </w:r>
          </w:p>
        </w:tc>
        <w:tc>
          <w:tcPr>
            <w:tcW w:w="750"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hint="eastAsia" w:eastAsia="黑体"/>
                <w:sz w:val="24"/>
                <w:szCs w:val="24"/>
              </w:rPr>
              <w:t>单位</w:t>
            </w:r>
          </w:p>
        </w:tc>
        <w:tc>
          <w:tcPr>
            <w:tcW w:w="950" w:type="dxa"/>
            <w:gridSpan w:val="3"/>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eastAsia="黑体"/>
                <w:sz w:val="24"/>
                <w:szCs w:val="24"/>
              </w:rPr>
              <w:t>2010</w:t>
            </w:r>
            <w:r>
              <w:rPr>
                <w:rFonts w:hint="eastAsia" w:eastAsia="黑体"/>
                <w:sz w:val="24"/>
                <w:szCs w:val="24"/>
              </w:rPr>
              <w:t>年</w:t>
            </w:r>
          </w:p>
        </w:tc>
        <w:tc>
          <w:tcPr>
            <w:tcW w:w="3321" w:type="dxa"/>
            <w:gridSpan w:val="4"/>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eastAsia="黑体"/>
                <w:sz w:val="24"/>
                <w:szCs w:val="24"/>
              </w:rPr>
              <w:t>2015</w:t>
            </w:r>
            <w:r>
              <w:rPr>
                <w:rFonts w:hint="eastAsia" w:eastAsia="黑体"/>
                <w:sz w:val="24"/>
                <w:szCs w:val="24"/>
              </w:rPr>
              <w:t>年</w:t>
            </w:r>
          </w:p>
        </w:tc>
        <w:tc>
          <w:tcPr>
            <w:tcW w:w="535"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hint="eastAsia" w:eastAsia="黑体"/>
                <w:sz w:val="24"/>
                <w:szCs w:val="24"/>
              </w:rPr>
              <w:t>属性</w:t>
            </w:r>
          </w:p>
        </w:tc>
      </w:tr>
      <w:tr>
        <w:tblPrEx>
          <w:tblLayout w:type="fixed"/>
          <w:tblCellMar>
            <w:top w:w="0" w:type="dxa"/>
            <w:left w:w="0" w:type="dxa"/>
            <w:bottom w:w="0" w:type="dxa"/>
            <w:right w:w="0" w:type="dxa"/>
          </w:tblCellMar>
        </w:tblPrEx>
        <w:trPr>
          <w:cantSplit/>
          <w:trHeight w:val="250" w:hRule="atLeast"/>
          <w:jc w:val="center"/>
        </w:trPr>
        <w:tc>
          <w:tcPr>
            <w:tcW w:w="2763"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75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95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hint="eastAsia" w:eastAsia="黑体"/>
                <w:sz w:val="24"/>
                <w:szCs w:val="24"/>
              </w:rPr>
              <w:t>目标</w:t>
            </w:r>
            <w:r>
              <w:rPr>
                <w:rFonts w:eastAsia="黑体"/>
                <w:sz w:val="24"/>
                <w:szCs w:val="24"/>
              </w:rPr>
              <w:t>/</w:t>
            </w:r>
            <w:r>
              <w:rPr>
                <w:rFonts w:hint="eastAsia" w:eastAsia="黑体"/>
                <w:sz w:val="24"/>
                <w:szCs w:val="24"/>
              </w:rPr>
              <w:t>实际</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rFonts w:eastAsia="黑体"/>
                <w:sz w:val="24"/>
                <w:szCs w:val="24"/>
              </w:rPr>
            </w:pPr>
            <w:r>
              <w:rPr>
                <w:rFonts w:hint="eastAsia" w:eastAsia="黑体"/>
                <w:sz w:val="24"/>
                <w:szCs w:val="24"/>
              </w:rPr>
              <w:t>年均增速</w:t>
            </w:r>
            <w:r>
              <w:rPr>
                <w:rFonts w:eastAsia="黑体"/>
                <w:sz w:val="24"/>
                <w:szCs w:val="24"/>
              </w:rPr>
              <w:t>:</w:t>
            </w:r>
            <w:r>
              <w:rPr>
                <w:rFonts w:hint="eastAsia" w:eastAsia="黑体"/>
                <w:sz w:val="24"/>
                <w:szCs w:val="24"/>
              </w:rPr>
              <w:t>目标</w:t>
            </w:r>
            <w:r>
              <w:rPr>
                <w:rFonts w:eastAsia="黑体"/>
                <w:sz w:val="24"/>
                <w:szCs w:val="24"/>
              </w:rPr>
              <w:t>/</w:t>
            </w:r>
            <w:r>
              <w:rPr>
                <w:rFonts w:hint="eastAsia" w:eastAsia="黑体"/>
                <w:sz w:val="24"/>
                <w:szCs w:val="24"/>
              </w:rPr>
              <w:t>实际（</w:t>
            </w:r>
            <w:r>
              <w:rPr>
                <w:rFonts w:eastAsia="黑体"/>
                <w:sz w:val="24"/>
                <w:szCs w:val="24"/>
              </w:rPr>
              <w:t>%</w:t>
            </w:r>
            <w:r>
              <w:rPr>
                <w:rFonts w:hint="eastAsia" w:eastAsia="黑体"/>
                <w:sz w:val="24"/>
                <w:szCs w:val="24"/>
              </w:rPr>
              <w:t>）</w:t>
            </w:r>
          </w:p>
        </w:tc>
        <w:tc>
          <w:tcPr>
            <w:tcW w:w="53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b/>
                <w:bCs/>
                <w:sz w:val="24"/>
                <w:szCs w:val="24"/>
              </w:rPr>
            </w:pPr>
          </w:p>
        </w:tc>
      </w:tr>
      <w:tr>
        <w:tblPrEx>
          <w:tblLayout w:type="fixed"/>
          <w:tblCellMar>
            <w:top w:w="0" w:type="dxa"/>
            <w:left w:w="0" w:type="dxa"/>
            <w:bottom w:w="0" w:type="dxa"/>
            <w:right w:w="0" w:type="dxa"/>
          </w:tblCellMar>
        </w:tblPrEx>
        <w:trPr>
          <w:trHeight w:val="315"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b/>
                <w:bCs/>
                <w:sz w:val="24"/>
                <w:szCs w:val="24"/>
              </w:rPr>
              <w:t>一、经济发展</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地区生产总值</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亿元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1092</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kern w:val="0"/>
                <w:sz w:val="24"/>
                <w:szCs w:val="24"/>
              </w:rPr>
              <w:t>-</w:t>
            </w:r>
            <w:r>
              <w:rPr>
                <w:color w:val="000000"/>
                <w:sz w:val="24"/>
                <w:szCs w:val="24"/>
              </w:rPr>
              <w:t>/1878</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sz w:val="24"/>
                <w:szCs w:val="24"/>
              </w:rPr>
              <w:t>11</w:t>
            </w:r>
            <w:r>
              <w:rPr>
                <w:rFonts w:hint="eastAsia"/>
                <w:color w:val="000000"/>
                <w:sz w:val="24"/>
                <w:szCs w:val="24"/>
              </w:rPr>
              <w:t>以上</w:t>
            </w:r>
            <w:r>
              <w:rPr>
                <w:color w:val="000000"/>
                <w:sz w:val="24"/>
                <w:szCs w:val="24"/>
              </w:rPr>
              <w:t>/9.7</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人均生产总值</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16936</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22036/30000</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8/14.9</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全社会固定资产投资</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亿元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1031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pPr>
            <w:r>
              <w:rPr>
                <w:sz w:val="24"/>
                <w:szCs w:val="24"/>
              </w:rPr>
              <w:t>3023/2085</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24/14.8</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9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4</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地方财政一般预算收入</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亿元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34.1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60/91</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12</w:t>
            </w:r>
            <w:r>
              <w:rPr>
                <w:rFonts w:hint="eastAsia"/>
                <w:sz w:val="24"/>
                <w:szCs w:val="24"/>
              </w:rPr>
              <w:t>以上</w:t>
            </w:r>
            <w:r>
              <w:rPr>
                <w:sz w:val="24"/>
                <w:szCs w:val="24"/>
              </w:rPr>
              <w:t>/21.7</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505"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外贸进出口总额</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亿美元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3.5</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6.8/6.4</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10/12.8</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6</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实际利用外商投资</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亿美元</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1.7</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5/4.95</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24/24</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b/>
                <w:bCs/>
                <w:sz w:val="24"/>
                <w:szCs w:val="24"/>
              </w:rPr>
              <w:t>二、转型升级和自主创新</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7</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居民消费率</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38.1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50</w:t>
            </w:r>
            <w:r>
              <w:rPr>
                <w:rFonts w:hint="eastAsia"/>
                <w:sz w:val="24"/>
                <w:szCs w:val="24"/>
              </w:rPr>
              <w:t>左右</w:t>
            </w:r>
            <w:r>
              <w:rPr>
                <w:sz w:val="24"/>
                <w:szCs w:val="24"/>
              </w:rPr>
              <w:t>/48</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8</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服务业增加值比重</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31.4</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35</w:t>
            </w:r>
            <w:r>
              <w:rPr>
                <w:rFonts w:hint="eastAsia"/>
                <w:sz w:val="24"/>
                <w:szCs w:val="24"/>
              </w:rPr>
              <w:t>以上</w:t>
            </w:r>
            <w:r>
              <w:rPr>
                <w:sz w:val="24"/>
                <w:szCs w:val="24"/>
              </w:rPr>
              <w:t>/35.6</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9</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服务业就业比重</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31.2</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33/34</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10</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城镇化率</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34.4</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46</w:t>
            </w:r>
            <w:r>
              <w:rPr>
                <w:rFonts w:hint="eastAsia"/>
                <w:sz w:val="24"/>
                <w:szCs w:val="24"/>
              </w:rPr>
              <w:t>左右</w:t>
            </w:r>
            <w:r>
              <w:rPr>
                <w:sz w:val="24"/>
                <w:szCs w:val="24"/>
              </w:rPr>
              <w:t>/42.8</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2/1.68</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11</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战略支撑产业增加值占工业增加值比重</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38</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50</w:t>
            </w:r>
            <w:r>
              <w:rPr>
                <w:rFonts w:hint="eastAsia"/>
                <w:sz w:val="24"/>
                <w:szCs w:val="24"/>
              </w:rPr>
              <w:t>以上</w:t>
            </w:r>
            <w:r>
              <w:rPr>
                <w:sz w:val="24"/>
                <w:szCs w:val="24"/>
              </w:rPr>
              <w:t>/56.8</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12</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研究与开发经费支出占生产总值比重</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0.4</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w:t>
            </w:r>
            <w:r>
              <w:rPr>
                <w:rFonts w:hint="eastAsia"/>
                <w:sz w:val="24"/>
                <w:szCs w:val="24"/>
              </w:rPr>
              <w:t>左右</w:t>
            </w:r>
            <w:r>
              <w:rPr>
                <w:sz w:val="24"/>
                <w:szCs w:val="24"/>
              </w:rPr>
              <w:t>/1</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13</w:t>
            </w:r>
          </w:p>
        </w:tc>
        <w:tc>
          <w:tcPr>
            <w:tcW w:w="247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专利授权量</w:t>
            </w:r>
          </w:p>
        </w:tc>
        <w:tc>
          <w:tcPr>
            <w:tcW w:w="750"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项</w:t>
            </w:r>
          </w:p>
        </w:tc>
        <w:tc>
          <w:tcPr>
            <w:tcW w:w="950"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172</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252/837</w:t>
            </w:r>
          </w:p>
        </w:tc>
        <w:tc>
          <w:tcPr>
            <w:tcW w:w="174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10/37.2</w:t>
            </w:r>
          </w:p>
        </w:tc>
        <w:tc>
          <w:tcPr>
            <w:tcW w:w="53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b/>
                <w:bCs/>
                <w:sz w:val="24"/>
                <w:szCs w:val="24"/>
              </w:rPr>
              <w:t>三、社会发展和改善民生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14</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农民人均纯收入</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元</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5311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sz w:val="24"/>
                <w:szCs w:val="24"/>
              </w:rPr>
              <w:t>8950/9844</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sz w:val="24"/>
                <w:szCs w:val="24"/>
              </w:rPr>
              <w:t>11</w:t>
            </w:r>
            <w:r>
              <w:rPr>
                <w:rFonts w:hint="eastAsia"/>
                <w:color w:val="000000"/>
                <w:sz w:val="24"/>
                <w:szCs w:val="24"/>
              </w:rPr>
              <w:t>左右</w:t>
            </w:r>
            <w:r>
              <w:rPr>
                <w:color w:val="000000"/>
                <w:sz w:val="24"/>
                <w:szCs w:val="24"/>
              </w:rPr>
              <w:t>/13.67</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15</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城镇居民可支配收入</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元</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13348</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sz w:val="24"/>
                <w:szCs w:val="24"/>
              </w:rPr>
              <w:t>22490/22434</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color w:val="000000"/>
                <w:sz w:val="24"/>
                <w:szCs w:val="24"/>
              </w:rPr>
            </w:pPr>
            <w:r>
              <w:rPr>
                <w:color w:val="000000"/>
                <w:sz w:val="24"/>
                <w:szCs w:val="24"/>
              </w:rPr>
              <w:t>11</w:t>
            </w:r>
            <w:r>
              <w:rPr>
                <w:rFonts w:hint="eastAsia"/>
                <w:color w:val="000000"/>
                <w:sz w:val="24"/>
                <w:szCs w:val="24"/>
              </w:rPr>
              <w:t>左右</w:t>
            </w:r>
            <w:r>
              <w:rPr>
                <w:color w:val="000000"/>
                <w:sz w:val="24"/>
                <w:szCs w:val="24"/>
              </w:rPr>
              <w:t>/12</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16</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城镇登记失业率</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4.5</w:t>
            </w:r>
            <w:r>
              <w:rPr>
                <w:rFonts w:hint="eastAsia"/>
                <w:sz w:val="24"/>
                <w:szCs w:val="24"/>
              </w:rPr>
              <w:t>以内</w:t>
            </w:r>
            <w:r>
              <w:rPr>
                <w:sz w:val="24"/>
                <w:szCs w:val="24"/>
              </w:rPr>
              <w:t>/2.79</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r>
              <w:rPr>
                <w:rFonts w:hint="eastAsia"/>
                <w:sz w:val="24"/>
                <w:szCs w:val="24"/>
              </w:rPr>
              <w:t>　</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17</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五年新增城镇就业人数</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万人</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9</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[40]/[49.5]</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r>
              <w:rPr>
                <w:rFonts w:hint="eastAsia"/>
                <w:sz w:val="24"/>
                <w:szCs w:val="24"/>
              </w:rPr>
              <w:t>　</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预期</w:t>
            </w:r>
          </w:p>
        </w:tc>
      </w:tr>
      <w:tr>
        <w:tblPrEx>
          <w:tblLayout w:type="fixed"/>
          <w:tblCellMar>
            <w:top w:w="0" w:type="dxa"/>
            <w:left w:w="0" w:type="dxa"/>
            <w:bottom w:w="0" w:type="dxa"/>
            <w:right w:w="0" w:type="dxa"/>
          </w:tblCellMar>
        </w:tblPrEx>
        <w:trPr>
          <w:trHeight w:val="785"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18</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全市总人口</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万人</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811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835/878.8</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6.9</w:t>
            </w:r>
            <w:r>
              <w:rPr>
                <w:rFonts w:hint="eastAsia"/>
                <w:sz w:val="24"/>
                <w:szCs w:val="24"/>
              </w:rPr>
              <w:t>‰以上</w:t>
            </w:r>
            <w:r>
              <w:rPr>
                <w:sz w:val="24"/>
                <w:szCs w:val="24"/>
              </w:rPr>
              <w:t>/16.2</w:t>
            </w:r>
            <w:r>
              <w:rPr>
                <w:rFonts w:hint="eastAsia"/>
                <w:sz w:val="24"/>
                <w:szCs w:val="24"/>
              </w:rPr>
              <w:t>‰</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19</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高中阶段教育毛入学率</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76</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87/87</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20</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城镇基本养老保险覆盖人数</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万人</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51</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60/60</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21</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城乡三项医疗保险参保率</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14"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90</w:t>
            </w:r>
          </w:p>
        </w:tc>
        <w:tc>
          <w:tcPr>
            <w:tcW w:w="1577"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95/99</w:t>
            </w:r>
          </w:p>
        </w:tc>
        <w:tc>
          <w:tcPr>
            <w:tcW w:w="1724"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315"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b/>
                <w:bCs/>
                <w:sz w:val="24"/>
                <w:szCs w:val="24"/>
              </w:rPr>
            </w:pPr>
            <w:r>
              <w:rPr>
                <w:rFonts w:hint="eastAsia"/>
                <w:b/>
                <w:bCs/>
                <w:sz w:val="24"/>
                <w:szCs w:val="24"/>
              </w:rPr>
              <w:t>四、生态建设和环境保护</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22</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万元生产总值能耗（</w:t>
            </w:r>
            <w:r>
              <w:rPr>
                <w:sz w:val="24"/>
                <w:szCs w:val="24"/>
              </w:rPr>
              <w:t>2005</w:t>
            </w:r>
            <w:r>
              <w:rPr>
                <w:rFonts w:hint="eastAsia"/>
                <w:sz w:val="24"/>
                <w:szCs w:val="24"/>
              </w:rPr>
              <w:t>年价）</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吨标准煤</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[-16]/[-17.65]</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23</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万元生产总值</w:t>
            </w:r>
            <w:r>
              <w:rPr>
                <w:sz w:val="24"/>
                <w:szCs w:val="24"/>
              </w:rPr>
              <w:t>CO</w:t>
            </w:r>
            <w:r>
              <w:rPr>
                <w:sz w:val="24"/>
                <w:szCs w:val="24"/>
                <w:vertAlign w:val="subscript"/>
              </w:rPr>
              <w:t>2</w:t>
            </w:r>
            <w:r>
              <w:rPr>
                <w:rFonts w:hint="eastAsia"/>
                <w:sz w:val="24"/>
                <w:szCs w:val="24"/>
              </w:rPr>
              <w:t>排放量（</w:t>
            </w:r>
            <w:r>
              <w:rPr>
                <w:sz w:val="24"/>
                <w:szCs w:val="24"/>
              </w:rPr>
              <w:t>2005</w:t>
            </w:r>
            <w:r>
              <w:rPr>
                <w:rFonts w:hint="eastAsia"/>
                <w:sz w:val="24"/>
                <w:szCs w:val="24"/>
              </w:rPr>
              <w:t>年价）</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吨</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 xml:space="preserve">[-17]/[-20] </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24</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万元工业增加值用水量</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立方米</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55</w:t>
            </w:r>
            <w:r>
              <w:rPr>
                <w:rFonts w:hint="eastAsia"/>
                <w:sz w:val="24"/>
                <w:szCs w:val="24"/>
              </w:rPr>
              <w:t>左右</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40</w:t>
            </w:r>
            <w:r>
              <w:rPr>
                <w:rFonts w:hint="eastAsia"/>
                <w:sz w:val="24"/>
                <w:szCs w:val="24"/>
              </w:rPr>
              <w:t>左右</w:t>
            </w:r>
            <w:r>
              <w:rPr>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[-30]/[-35 ]</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25</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农业灌溉用水有效系数</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0.42</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0.45/0.45</w:t>
            </w:r>
          </w:p>
        </w:tc>
        <w:tc>
          <w:tcPr>
            <w:tcW w:w="173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b/>
                <w:bCs/>
                <w:sz w:val="24"/>
                <w:szCs w:val="24"/>
              </w:rPr>
            </w:pPr>
            <w:r>
              <w:rPr>
                <w:rFonts w:hint="eastAsia"/>
                <w:sz w:val="24"/>
                <w:szCs w:val="24"/>
              </w:rPr>
              <w:t>预期</w:t>
            </w:r>
          </w:p>
        </w:tc>
      </w:tr>
      <w:tr>
        <w:tblPrEx>
          <w:tblLayout w:type="fixed"/>
          <w:tblCellMar>
            <w:top w:w="0" w:type="dxa"/>
            <w:left w:w="0" w:type="dxa"/>
            <w:bottom w:w="0" w:type="dxa"/>
            <w:right w:w="0" w:type="dxa"/>
          </w:tblCellMar>
        </w:tblPrEx>
        <w:trPr>
          <w:cantSplit/>
          <w:trHeight w:val="158" w:hRule="atLeast"/>
          <w:jc w:val="center"/>
        </w:trPr>
        <w:tc>
          <w:tcPr>
            <w:tcW w:w="288"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26</w:t>
            </w:r>
          </w:p>
        </w:tc>
        <w:tc>
          <w:tcPr>
            <w:tcW w:w="1020"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p>
          <w:p>
            <w:pPr>
              <w:spacing w:line="360" w:lineRule="exact"/>
              <w:jc w:val="left"/>
              <w:rPr>
                <w:sz w:val="24"/>
                <w:szCs w:val="24"/>
              </w:rPr>
            </w:pPr>
            <w:r>
              <w:rPr>
                <w:rFonts w:hint="eastAsia"/>
                <w:sz w:val="24"/>
                <w:szCs w:val="24"/>
              </w:rPr>
              <w:t>主要污染物排放减少</w:t>
            </w: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化学需氧量</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r>
              <w:rPr>
                <w:rFonts w:hint="eastAsia"/>
                <w:sz w:val="24"/>
                <w:szCs w:val="24"/>
              </w:rPr>
              <w:t>　</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[9.9]/[12.8]</w:t>
            </w:r>
          </w:p>
        </w:tc>
        <w:tc>
          <w:tcPr>
            <w:tcW w:w="555" w:type="dxa"/>
            <w:gridSpan w:val="2"/>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cantSplit/>
          <w:trHeight w:val="158" w:hRule="atLeast"/>
          <w:jc w:val="center"/>
        </w:trPr>
        <w:tc>
          <w:tcPr>
            <w:tcW w:w="2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02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二氧化硫</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[11.4]/[19.3]</w:t>
            </w:r>
          </w:p>
        </w:tc>
        <w:tc>
          <w:tcPr>
            <w:tcW w:w="55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r>
      <w:tr>
        <w:tblPrEx>
          <w:tblLayout w:type="fixed"/>
          <w:tblCellMar>
            <w:top w:w="0" w:type="dxa"/>
            <w:left w:w="0" w:type="dxa"/>
            <w:bottom w:w="0" w:type="dxa"/>
            <w:right w:w="0" w:type="dxa"/>
          </w:tblCellMar>
        </w:tblPrEx>
        <w:trPr>
          <w:cantSplit/>
          <w:trHeight w:val="307" w:hRule="atLeast"/>
          <w:jc w:val="center"/>
        </w:trPr>
        <w:tc>
          <w:tcPr>
            <w:tcW w:w="2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02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氨氮</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[12.6]/[13.3]</w:t>
            </w:r>
          </w:p>
        </w:tc>
        <w:tc>
          <w:tcPr>
            <w:tcW w:w="55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r>
      <w:tr>
        <w:tblPrEx>
          <w:tblLayout w:type="fixed"/>
          <w:tblCellMar>
            <w:top w:w="0" w:type="dxa"/>
            <w:left w:w="0" w:type="dxa"/>
            <w:bottom w:w="0" w:type="dxa"/>
            <w:right w:w="0" w:type="dxa"/>
          </w:tblCellMar>
        </w:tblPrEx>
        <w:trPr>
          <w:cantSplit/>
          <w:trHeight w:val="139" w:hRule="atLeast"/>
          <w:jc w:val="center"/>
        </w:trPr>
        <w:tc>
          <w:tcPr>
            <w:tcW w:w="2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02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氮氧化物</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[14.7]/[16.8]</w:t>
            </w:r>
          </w:p>
        </w:tc>
        <w:tc>
          <w:tcPr>
            <w:tcW w:w="55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r>
      <w:tr>
        <w:tblPrEx>
          <w:tblLayout w:type="fixed"/>
          <w:tblCellMar>
            <w:top w:w="0" w:type="dxa"/>
            <w:left w:w="0" w:type="dxa"/>
            <w:bottom w:w="0" w:type="dxa"/>
            <w:right w:w="0" w:type="dxa"/>
          </w:tblCellMar>
        </w:tblPrEx>
        <w:trPr>
          <w:trHeight w:val="250" w:hRule="atLeast"/>
          <w:jc w:val="center"/>
        </w:trPr>
        <w:tc>
          <w:tcPr>
            <w:tcW w:w="28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27</w:t>
            </w:r>
          </w:p>
        </w:tc>
        <w:tc>
          <w:tcPr>
            <w:tcW w:w="2466"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耕地保有量</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万公顷</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56.86</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56.89/56.89</w:t>
            </w:r>
          </w:p>
        </w:tc>
        <w:tc>
          <w:tcPr>
            <w:tcW w:w="173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color w:val="000000"/>
                <w:kern w:val="0"/>
                <w:sz w:val="24"/>
                <w:szCs w:val="24"/>
              </w:rPr>
              <w:t>-</w:t>
            </w:r>
            <w:r>
              <w:rPr>
                <w:rFonts w:hint="eastAsia"/>
                <w:sz w:val="24"/>
                <w:szCs w:val="24"/>
              </w:rPr>
              <w:t>　</w:t>
            </w:r>
          </w:p>
        </w:tc>
        <w:tc>
          <w:tcPr>
            <w:tcW w:w="555"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cantSplit/>
          <w:trHeight w:val="125" w:hRule="atLeast"/>
          <w:jc w:val="center"/>
        </w:trPr>
        <w:tc>
          <w:tcPr>
            <w:tcW w:w="288"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28</w:t>
            </w:r>
          </w:p>
        </w:tc>
        <w:tc>
          <w:tcPr>
            <w:tcW w:w="1020" w:type="dxa"/>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森林增长</w:t>
            </w: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left"/>
              <w:rPr>
                <w:sz w:val="24"/>
                <w:szCs w:val="24"/>
              </w:rPr>
            </w:pPr>
            <w:r>
              <w:rPr>
                <w:rFonts w:hint="eastAsia"/>
                <w:sz w:val="24"/>
                <w:szCs w:val="24"/>
              </w:rPr>
              <w:t>森林蓄积量</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万立方米</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2670.3</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2800/3068.8</w:t>
            </w:r>
          </w:p>
        </w:tc>
        <w:tc>
          <w:tcPr>
            <w:tcW w:w="1732"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0.97/2.98</w:t>
            </w:r>
          </w:p>
        </w:tc>
        <w:tc>
          <w:tcPr>
            <w:tcW w:w="555" w:type="dxa"/>
            <w:gridSpan w:val="2"/>
            <w:vMerge w:val="restar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rFonts w:hint="eastAsia"/>
                <w:sz w:val="24"/>
                <w:szCs w:val="24"/>
              </w:rPr>
              <w:t>约束</w:t>
            </w:r>
          </w:p>
        </w:tc>
      </w:tr>
      <w:tr>
        <w:tblPrEx>
          <w:tblLayout w:type="fixed"/>
          <w:tblCellMar>
            <w:top w:w="0" w:type="dxa"/>
            <w:left w:w="0" w:type="dxa"/>
            <w:bottom w:w="0" w:type="dxa"/>
            <w:right w:w="0" w:type="dxa"/>
          </w:tblCellMar>
        </w:tblPrEx>
        <w:trPr>
          <w:cantSplit/>
          <w:trHeight w:val="125" w:hRule="atLeast"/>
          <w:jc w:val="center"/>
        </w:trPr>
        <w:tc>
          <w:tcPr>
            <w:tcW w:w="2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02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c>
          <w:tcPr>
            <w:tcW w:w="144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rFonts w:hint="eastAsia"/>
                <w:sz w:val="24"/>
                <w:szCs w:val="24"/>
              </w:rPr>
              <w:t>森林覆盖率</w:t>
            </w:r>
          </w:p>
        </w:tc>
        <w:tc>
          <w:tcPr>
            <w:tcW w:w="795" w:type="dxa"/>
            <w:gridSpan w:val="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sz w:val="24"/>
                <w:szCs w:val="24"/>
              </w:rPr>
            </w:pPr>
            <w:r>
              <w:rPr>
                <w:sz w:val="24"/>
                <w:szCs w:val="24"/>
              </w:rPr>
              <w:t>%</w:t>
            </w:r>
          </w:p>
        </w:tc>
        <w:tc>
          <w:tcPr>
            <w:tcW w:w="903"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34.44</w:t>
            </w:r>
          </w:p>
        </w:tc>
        <w:tc>
          <w:tcPr>
            <w:tcW w:w="158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jc w:val="center"/>
              <w:rPr>
                <w:sz w:val="24"/>
                <w:szCs w:val="24"/>
              </w:rPr>
            </w:pPr>
            <w:r>
              <w:rPr>
                <w:sz w:val="24"/>
                <w:szCs w:val="24"/>
              </w:rPr>
              <w:t>36/36.11</w:t>
            </w:r>
          </w:p>
        </w:tc>
        <w:tc>
          <w:tcPr>
            <w:tcW w:w="173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sz w:val="24"/>
                <w:szCs w:val="24"/>
              </w:rPr>
            </w:pPr>
            <w:r>
              <w:rPr>
                <w:sz w:val="24"/>
                <w:szCs w:val="24"/>
              </w:rPr>
              <w:t>0.91/0.97</w:t>
            </w:r>
          </w:p>
        </w:tc>
        <w:tc>
          <w:tcPr>
            <w:tcW w:w="55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sz w:val="24"/>
                <w:szCs w:val="24"/>
              </w:rPr>
            </w:pPr>
          </w:p>
        </w:tc>
      </w:tr>
      <w:tr>
        <w:tblPrEx>
          <w:tblLayout w:type="fixed"/>
          <w:tblCellMar>
            <w:top w:w="0" w:type="dxa"/>
            <w:left w:w="0" w:type="dxa"/>
            <w:bottom w:w="0" w:type="dxa"/>
            <w:right w:w="0" w:type="dxa"/>
          </w:tblCellMar>
        </w:tblPrEx>
        <w:trPr>
          <w:trHeight w:val="587" w:hRule="atLeast"/>
          <w:jc w:val="center"/>
        </w:trPr>
        <w:tc>
          <w:tcPr>
            <w:tcW w:w="8319" w:type="dxa"/>
            <w:gridSpan w:val="13"/>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360" w:lineRule="exact"/>
              <w:rPr>
                <w:color w:val="FF0000"/>
                <w:sz w:val="24"/>
                <w:szCs w:val="24"/>
                <w:u w:val="single"/>
              </w:rPr>
            </w:pPr>
            <w:r>
              <w:rPr>
                <w:rFonts w:hint="eastAsia"/>
                <w:color w:val="000000"/>
                <w:kern w:val="0"/>
                <w:sz w:val="24"/>
                <w:szCs w:val="24"/>
              </w:rPr>
              <w:t>注：</w:t>
            </w:r>
            <w:r>
              <w:rPr>
                <w:color w:val="000000"/>
                <w:kern w:val="0"/>
                <w:sz w:val="24"/>
                <w:szCs w:val="24"/>
              </w:rPr>
              <w:t>1</w:t>
            </w:r>
            <w:r>
              <w:rPr>
                <w:rFonts w:hint="eastAsia"/>
                <w:color w:val="000000"/>
                <w:kern w:val="0"/>
                <w:sz w:val="24"/>
                <w:szCs w:val="24"/>
              </w:rPr>
              <w:t>、</w:t>
            </w:r>
            <w:r>
              <w:rPr>
                <w:color w:val="000000"/>
                <w:kern w:val="0"/>
                <w:sz w:val="24"/>
                <w:szCs w:val="24"/>
              </w:rPr>
              <w:t>2015</w:t>
            </w:r>
            <w:r>
              <w:rPr>
                <w:rFonts w:hint="eastAsia"/>
                <w:color w:val="000000"/>
                <w:kern w:val="0"/>
                <w:sz w:val="24"/>
                <w:szCs w:val="24"/>
              </w:rPr>
              <w:t>年完成情况为预计数，带</w:t>
            </w:r>
            <w:r>
              <w:rPr>
                <w:color w:val="000000"/>
                <w:kern w:val="0"/>
                <w:sz w:val="24"/>
                <w:szCs w:val="24"/>
              </w:rPr>
              <w:t>*</w:t>
            </w:r>
            <w:r>
              <w:rPr>
                <w:rFonts w:hint="eastAsia"/>
                <w:color w:val="000000"/>
                <w:kern w:val="0"/>
                <w:sz w:val="24"/>
                <w:szCs w:val="24"/>
              </w:rPr>
              <w:t>数据为</w:t>
            </w:r>
            <w:r>
              <w:rPr>
                <w:color w:val="000000"/>
                <w:kern w:val="0"/>
                <w:sz w:val="24"/>
                <w:szCs w:val="24"/>
              </w:rPr>
              <w:t>2014</w:t>
            </w:r>
            <w:r>
              <w:rPr>
                <w:rFonts w:hint="eastAsia"/>
                <w:color w:val="000000"/>
                <w:kern w:val="0"/>
                <w:sz w:val="24"/>
                <w:szCs w:val="24"/>
              </w:rPr>
              <w:t>年数；</w:t>
            </w:r>
          </w:p>
          <w:p>
            <w:pPr>
              <w:spacing w:line="360" w:lineRule="exact"/>
              <w:ind w:firstLine="472" w:firstLineChars="200"/>
              <w:rPr>
                <w:color w:val="000000"/>
                <w:kern w:val="0"/>
                <w:sz w:val="24"/>
                <w:szCs w:val="24"/>
              </w:rPr>
            </w:pPr>
            <w:r>
              <w:rPr>
                <w:color w:val="000000"/>
                <w:kern w:val="0"/>
                <w:sz w:val="24"/>
                <w:szCs w:val="24"/>
              </w:rPr>
              <w:t>2</w:t>
            </w:r>
            <w:r>
              <w:rPr>
                <w:rFonts w:hint="eastAsia"/>
                <w:color w:val="000000"/>
                <w:kern w:val="0"/>
                <w:sz w:val="24"/>
                <w:szCs w:val="24"/>
              </w:rPr>
              <w:t>、</w:t>
            </w:r>
            <w:r>
              <w:rPr>
                <w:color w:val="000000"/>
                <w:kern w:val="0"/>
                <w:sz w:val="24"/>
                <w:szCs w:val="24"/>
              </w:rPr>
              <w:t>[  ]</w:t>
            </w:r>
            <w:r>
              <w:rPr>
                <w:rFonts w:hint="eastAsia"/>
                <w:color w:val="000000"/>
                <w:kern w:val="0"/>
                <w:sz w:val="24"/>
                <w:szCs w:val="24"/>
              </w:rPr>
              <w:t>内数据为五年规划期累计；</w:t>
            </w:r>
          </w:p>
          <w:p>
            <w:pPr>
              <w:spacing w:line="360" w:lineRule="exact"/>
              <w:ind w:left="-9" w:leftChars="-3" w:firstLine="531" w:firstLineChars="225"/>
              <w:rPr>
                <w:rFonts w:hint="eastAsia"/>
                <w:color w:val="000000"/>
                <w:sz w:val="24"/>
                <w:szCs w:val="24"/>
              </w:rPr>
            </w:pPr>
            <w:r>
              <w:rPr>
                <w:color w:val="000000"/>
                <w:kern w:val="0"/>
                <w:sz w:val="24"/>
                <w:szCs w:val="24"/>
              </w:rPr>
              <w:t>3</w:t>
            </w:r>
            <w:r>
              <w:rPr>
                <w:rFonts w:hint="eastAsia"/>
                <w:color w:val="000000"/>
                <w:kern w:val="0"/>
                <w:sz w:val="24"/>
                <w:szCs w:val="24"/>
              </w:rPr>
              <w:t>、</w:t>
            </w:r>
            <w:r>
              <w:rPr>
                <w:rFonts w:hint="eastAsia"/>
                <w:color w:val="000000"/>
                <w:sz w:val="24"/>
                <w:szCs w:val="24"/>
              </w:rPr>
              <w:t>地区生产总值、全员劳动生产率、居民人均可支配收入的绝对数按当年</w:t>
            </w:r>
          </w:p>
          <w:p>
            <w:pPr>
              <w:spacing w:line="360" w:lineRule="exact"/>
              <w:ind w:left="1316" w:leftChars="342" w:hanging="236" w:hangingChars="100"/>
              <w:rPr>
                <w:sz w:val="24"/>
                <w:szCs w:val="24"/>
              </w:rPr>
            </w:pPr>
            <w:r>
              <w:rPr>
                <w:rFonts w:hint="eastAsia"/>
                <w:color w:val="000000"/>
                <w:sz w:val="24"/>
                <w:szCs w:val="24"/>
              </w:rPr>
              <w:t>价计算，</w:t>
            </w:r>
            <w:r>
              <w:rPr>
                <w:rFonts w:hint="eastAsia"/>
                <w:color w:val="000000"/>
                <w:kern w:val="0"/>
                <w:sz w:val="24"/>
                <w:szCs w:val="24"/>
              </w:rPr>
              <w:t>年均增速为扣除价格因素的实际增长速度。</w:t>
            </w:r>
          </w:p>
        </w:tc>
      </w:tr>
    </w:tbl>
    <w:p>
      <w:pPr>
        <w:spacing w:line="580" w:lineRule="exact"/>
        <w:ind w:firstLine="632" w:firstLineChars="200"/>
        <w:rPr>
          <w:color w:val="000000"/>
        </w:rPr>
      </w:pPr>
      <w:bookmarkStart w:id="8" w:name="_Toc435797084"/>
      <w:bookmarkStart w:id="9" w:name="_Toc424139937"/>
      <w:r>
        <w:rPr>
          <w:rFonts w:hint="eastAsia"/>
          <w:color w:val="000000"/>
        </w:rPr>
        <w:t>经过“十二五”时期的探索实践，我们积累了宝贵经验。</w:t>
      </w:r>
      <w:r>
        <w:rPr>
          <w:rFonts w:hint="eastAsia"/>
          <w:b/>
          <w:bCs/>
          <w:color w:val="000000"/>
        </w:rPr>
        <w:t>一是必须扭住第一要务，持续求进。</w:t>
      </w:r>
      <w:r>
        <w:rPr>
          <w:rFonts w:hint="eastAsia"/>
          <w:color w:val="000000"/>
        </w:rPr>
        <w:t>坚持把发展作为第一要务，把加快发展作为首要目标，强化持续求进意识，找准发展定位，明确发展方向，发扬钉钉子精神，一年接着一年干，持续关注工业、学习工业、研究工业、支持工业，用正确的方法做正确的事情，不走错路，少走弯路，牢牢掌握工作的主动权，努力使发展的步子更快一点。</w:t>
      </w:r>
      <w:r>
        <w:rPr>
          <w:rFonts w:hint="eastAsia"/>
          <w:b/>
          <w:bCs/>
          <w:color w:val="000000"/>
        </w:rPr>
        <w:t>二是必须坚持问题导向，务实发展。</w:t>
      </w:r>
      <w:r>
        <w:rPr>
          <w:rFonts w:hint="eastAsia"/>
          <w:color w:val="000000"/>
        </w:rPr>
        <w:t>立足信阳处于工业化初期阶段实际，坚持问题导向，认清形势，把握规律，弥补短板，进一步理清加快发展靠什么、发展优势有什么、主要抓什么，发展思路更加明晰，大力发展以现代工业为主导的新兴产业成为全市共识。抓住主要矛盾，扭住关键环节，扎实推进“一个载体、四个体系、六大基础”</w:t>
      </w:r>
      <w:r>
        <w:rPr>
          <w:rStyle w:val="8"/>
        </w:rPr>
        <w:footnoteReference w:id="0"/>
      </w:r>
      <w:r>
        <w:rPr>
          <w:rFonts w:hint="eastAsia"/>
          <w:color w:val="000000"/>
        </w:rPr>
        <w:t>建设，把工业化、城镇化作为最突出任务，把产业集聚区建设作为新常态下实现经济提质增效的重要载体，推动产业集聚区不断上规模、上水平、上层次，提高吸引力、竞争力、带动力，实现新常态下更好更快发展，呈现出良好势头。</w:t>
      </w:r>
      <w:r>
        <w:rPr>
          <w:rFonts w:hint="eastAsia"/>
          <w:b/>
          <w:bCs/>
          <w:color w:val="000000"/>
        </w:rPr>
        <w:t>三是必须强化责任担当，积极作为。</w:t>
      </w:r>
      <w:r>
        <w:rPr>
          <w:rFonts w:hint="eastAsia"/>
          <w:color w:val="000000"/>
        </w:rPr>
        <w:t>贯彻落实中央和省委部署，扎实推进全面从严治党，为加快发展提供坚强保证。不断提高干部队伍素质，激发干事创业的积极性，营造良好的政治生态。全市各级党组织和党员干部勇挑重担，敢于担当，积极作为，履职尽责，始终把加快发展、推进改革、维护稳定、改善民生作为历史责任，切实做好各方面工作。这些经验是信阳政通人和、事业兴旺的根本所在，凝聚着全市人民的智慧和心血，弥足珍贵，必须倍加珍惜，在“十三五”和今后一个时期继续坚持和发扬。</w:t>
      </w:r>
    </w:p>
    <w:p>
      <w:pPr>
        <w:pStyle w:val="4"/>
        <w:spacing w:before="0" w:after="0" w:line="580" w:lineRule="exact"/>
        <w:jc w:val="center"/>
        <w:rPr>
          <w:rFonts w:eastAsia="方正仿宋_GBK"/>
        </w:rPr>
      </w:pPr>
      <w:bookmarkStart w:id="10" w:name="_Toc21792"/>
      <w:r>
        <w:rPr>
          <w:rFonts w:hint="eastAsia" w:eastAsia="方正仿宋_GBK"/>
        </w:rPr>
        <w:t>第二节</w:t>
      </w:r>
      <w:r>
        <w:rPr>
          <w:rFonts w:eastAsia="方正仿宋_GBK"/>
        </w:rPr>
        <w:t xml:space="preserve"> </w:t>
      </w:r>
      <w:bookmarkEnd w:id="8"/>
      <w:bookmarkEnd w:id="9"/>
      <w:bookmarkStart w:id="11" w:name="_Toc25259"/>
      <w:r>
        <w:rPr>
          <w:rFonts w:hint="eastAsia" w:eastAsia="方正仿宋_GBK"/>
        </w:rPr>
        <w:t>“十三五”面临的</w:t>
      </w:r>
      <w:bookmarkEnd w:id="11"/>
      <w:r>
        <w:rPr>
          <w:rFonts w:hint="eastAsia" w:eastAsia="方正仿宋_GBK"/>
        </w:rPr>
        <w:t>形势</w:t>
      </w:r>
      <w:bookmarkEnd w:id="10"/>
    </w:p>
    <w:p>
      <w:pPr>
        <w:spacing w:line="580" w:lineRule="exact"/>
        <w:ind w:firstLine="632" w:firstLineChars="200"/>
        <w:rPr>
          <w:color w:val="000000"/>
        </w:rPr>
      </w:pPr>
      <w:bookmarkStart w:id="12" w:name="_Toc424139939"/>
      <w:r>
        <w:rPr>
          <w:rFonts w:hint="eastAsia"/>
          <w:color w:val="000000"/>
        </w:rPr>
        <w:t>世界多极化、经济全球化、文化多样化、社会信息化深入发展，世界经济在深度调整中曲折复苏。我国经济发展进入新常态，经济发展方式加快转变，新的增长动力正在孕育形成，经济长期向好基本面没有改变，仍处于大有作为的重要战略机遇期。国家支持河南加快发展力度加大，我省在全国发展大局中的地位更加突出。</w:t>
      </w:r>
    </w:p>
    <w:p>
      <w:pPr>
        <w:spacing w:line="580" w:lineRule="exact"/>
        <w:ind w:firstLine="632" w:firstLineChars="200"/>
        <w:rPr>
          <w:color w:val="000000"/>
        </w:rPr>
      </w:pPr>
      <w:r>
        <w:rPr>
          <w:rFonts w:hint="eastAsia"/>
          <w:color w:val="000000"/>
        </w:rPr>
        <w:t>外部环境和自身条件的变化为我市发展提供了重要契机。经济全球化深入发展，国家“一带一路”</w:t>
      </w:r>
      <w:r>
        <w:rPr>
          <w:rStyle w:val="8"/>
        </w:rPr>
        <w:footnoteReference w:id="1"/>
      </w:r>
      <w:r>
        <w:rPr>
          <w:rFonts w:hint="eastAsia"/>
          <w:color w:val="000000"/>
        </w:rPr>
        <w:t>战略实施，为信阳进一步扩大开放、建设内陆开放型经济高地，带来了大好机遇；国内产业转移加速向具有比较优势的地区布局，为我市发挥三大优势承接产业转移、做大做强现代工业，带来了大好机遇；新一轮科技革命和产业革命蓄势待发，我国大力实施网络强国战略、国家大数据战略、“互联网</w:t>
      </w:r>
      <w:r>
        <w:rPr>
          <w:color w:val="000000"/>
        </w:rPr>
        <w:t>+</w:t>
      </w:r>
      <w:r>
        <w:rPr>
          <w:rFonts w:hint="eastAsia"/>
          <w:color w:val="000000"/>
        </w:rPr>
        <w:t>”行动计划，推动大众创业万众创新，蕴含大量商机，为我市后来居上、抢占发展制高点，带来了大好机遇；国家加大扶贫开发力度，加快补齐农业农村短板成为全党共识，开创“三农”工作新局面的推动力更加强大，为我们打赢脱贫攻坚战，带来了大好机遇；中央推进全面深化改革，释放多重制度红利，为我市破除机制体制障碍、增强经济发展的内生动力，带来了大好机遇；省实施三大战略规划</w:t>
      </w:r>
      <w:r>
        <w:rPr>
          <w:rStyle w:val="8"/>
        </w:rPr>
        <w:footnoteReference w:id="2"/>
      </w:r>
      <w:r>
        <w:rPr>
          <w:rFonts w:hint="eastAsia"/>
          <w:color w:val="000000"/>
        </w:rPr>
        <w:t>，加快中原城市群建设，为信阳深度融入全局，构建全国有影响力的交通、信息和物流三大枢纽，带来了大好机遇。从信阳实际看，我们始终把立足点放在打基础利长远上，把着力点放在兴产业带全局上，把落脚点放在强实力惠民生上，通过不懈努力，综合实力显著提升，发展潜力蓄势迸发，新的增长动力正在孕育形成，产业集聚区由培育期向发展期转换，基础设施支撑有力，发展环境明显优化，社会建设基础更加扎实，党的建设全面加强，党员干部队伍素质显著增强，为“十三五”发展奠定了坚实基础，开拓了更为广阔的前景。只要我们毫不动摇地坚持和完善行之有效的思路和举措，完全有基础有条件加快发展，一定能夺取全面建成小康社会伟大胜利。</w:t>
      </w:r>
    </w:p>
    <w:p>
      <w:pPr>
        <w:spacing w:line="580" w:lineRule="exact"/>
        <w:ind w:firstLine="632" w:firstLineChars="200"/>
        <w:rPr>
          <w:color w:val="000000"/>
        </w:rPr>
      </w:pPr>
      <w:r>
        <w:rPr>
          <w:rFonts w:hint="eastAsia"/>
          <w:color w:val="000000"/>
        </w:rPr>
        <w:t>我市经济社会发展也面临诸多困难和挑战。在新常态下，经济运行中的不确定、不稳定因素较多；新型工业化基础薄弱，工业产业链条不够完整，产品竞争力不强；长期以来形成的结构性矛盾依然存在，三次产业之间、城乡之间发展还不平衡；城镇化水平低，统筹城乡发展任务繁重；创新驱动能力还不强，创新的体制和机制还不够完善；贫困人口基数大，如期脱贫任务艰巨；制约发展的体制机制障碍依然存在，深化改革任务繁重；社会建设和治理面临一些新情况新问题，法治建设有待加强；干部作风、能力建设和党员先锋模范作用有待提高，一些干部对当前形势认识模糊，还存在等靠要的思想，谋发展、抓发展的劲头不足等。</w:t>
      </w:r>
    </w:p>
    <w:p>
      <w:pPr>
        <w:spacing w:line="580" w:lineRule="exact"/>
        <w:ind w:firstLine="632" w:firstLineChars="200"/>
        <w:rPr>
          <w:color w:val="000000"/>
        </w:rPr>
      </w:pPr>
      <w:r>
        <w:rPr>
          <w:rFonts w:hint="eastAsia"/>
          <w:color w:val="000000"/>
        </w:rPr>
        <w:t>谋划我市“十三五”时期发展，必须准确把握经济发展新常态带来的趋势性变化，应时合势、更新理念，保持定力、抓住关键，认真研究信阳所处发展阶段、所具备发展条件，深刻认识我市既处在爬坡过坎、攻城拔寨的紧要关口，也处于加快发展、弯道超车的关键时期，必须抢抓机遇、攻坚克难，以新的理念引领发展，在转方式、调结构、补短板、防风险上下功夫，发扬滚石上山的精神拼上去，奋力开拓发展新境界。</w:t>
      </w:r>
    </w:p>
    <w:p>
      <w:pPr>
        <w:pStyle w:val="3"/>
        <w:spacing w:before="0" w:after="0" w:line="580" w:lineRule="exact"/>
        <w:jc w:val="center"/>
        <w:rPr>
          <w:rFonts w:ascii="Times New Roman" w:hAnsi="Times New Roman" w:eastAsia="方正楷体_GBK" w:cs="Times New Roman"/>
        </w:rPr>
      </w:pPr>
      <w:bookmarkStart w:id="13" w:name="_Toc25838"/>
      <w:r>
        <w:rPr>
          <w:rFonts w:hint="eastAsia" w:ascii="Times New Roman" w:hAnsi="Times New Roman" w:eastAsia="方正楷体_GBK" w:cs="Times New Roman"/>
        </w:rPr>
        <w:t>第二章</w:t>
      </w:r>
      <w:r>
        <w:rPr>
          <w:rFonts w:ascii="Times New Roman" w:hAnsi="Times New Roman" w:eastAsia="方正楷体_GBK" w:cs="Times New Roman"/>
        </w:rPr>
        <w:t xml:space="preserve">  </w:t>
      </w:r>
      <w:r>
        <w:rPr>
          <w:rFonts w:hint="eastAsia" w:ascii="Times New Roman" w:hAnsi="Times New Roman" w:eastAsia="方正楷体_GBK" w:cs="Times New Roman"/>
        </w:rPr>
        <w:t>未来五年的发展蓝图</w:t>
      </w:r>
      <w:bookmarkEnd w:id="12"/>
      <w:bookmarkEnd w:id="13"/>
    </w:p>
    <w:p>
      <w:pPr>
        <w:pStyle w:val="4"/>
        <w:spacing w:before="0" w:after="0" w:line="580" w:lineRule="exact"/>
        <w:jc w:val="center"/>
        <w:rPr>
          <w:rFonts w:eastAsia="方正仿宋_GBK"/>
        </w:rPr>
      </w:pPr>
      <w:bookmarkStart w:id="14" w:name="_Toc424139940"/>
      <w:bookmarkStart w:id="15" w:name="_Toc11425"/>
      <w:bookmarkStart w:id="16" w:name="_Toc435797087"/>
      <w:r>
        <w:rPr>
          <w:rFonts w:hint="eastAsia" w:eastAsia="方正仿宋_GBK"/>
        </w:rPr>
        <w:t>第一节</w:t>
      </w:r>
      <w:r>
        <w:rPr>
          <w:rFonts w:eastAsia="方正仿宋_GBK"/>
        </w:rPr>
        <w:t xml:space="preserve">  </w:t>
      </w:r>
      <w:r>
        <w:rPr>
          <w:rFonts w:hint="eastAsia" w:eastAsia="方正仿宋_GBK"/>
        </w:rPr>
        <w:t>指导思想</w:t>
      </w:r>
      <w:bookmarkEnd w:id="14"/>
      <w:bookmarkEnd w:id="15"/>
      <w:bookmarkEnd w:id="16"/>
    </w:p>
    <w:p>
      <w:pPr>
        <w:spacing w:line="580" w:lineRule="exact"/>
        <w:ind w:firstLine="632" w:firstLineChars="200"/>
        <w:rPr>
          <w:color w:val="000000"/>
        </w:rPr>
      </w:pPr>
      <w:bookmarkStart w:id="17" w:name="_Toc424139942"/>
      <w:bookmarkStart w:id="18" w:name="_Toc435797089"/>
      <w:r>
        <w:rPr>
          <w:rFonts w:hint="eastAsia"/>
          <w:color w:val="000000"/>
        </w:rPr>
        <w:t>高举中国特色社会主义伟大旗帜，全面贯彻党的十八大和十八届三中、四中、五中全会精神，以马克思列宁主义、毛泽东思想、邓小平理论、“三个代表”重要思想、科学发展观为指导，深入贯彻习近平总书记系列重要讲话精神，按照“五位一体”总体布局和“四个全面”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推进四化同步科学发展，强化“一个载体、四个体系、六大基础”战略支撑，认真落实河南省三大国家战略规划和《大别山革命老区振兴发展规划》，大力承接产业转移，着力构建区域性中心城市、充满发展活力的生态经济先行区、全国有影响力的交通、信息、物流枢纽，着力保障和改善民</w:t>
      </w:r>
      <w:r>
        <w:rPr>
          <w:rFonts w:hint="eastAsia"/>
          <w:color w:val="000000"/>
          <w:spacing w:val="-20"/>
        </w:rPr>
        <w:t>生，持</w:t>
      </w:r>
      <w:r>
        <w:rPr>
          <w:rFonts w:hint="eastAsia"/>
          <w:color w:val="000000"/>
        </w:rPr>
        <w:t>续求</w:t>
      </w:r>
      <w:r>
        <w:rPr>
          <w:rFonts w:hint="eastAsia"/>
          <w:color w:val="000000"/>
          <w:spacing w:val="-20"/>
        </w:rPr>
        <w:t>进，务</w:t>
      </w:r>
      <w:r>
        <w:rPr>
          <w:rFonts w:hint="eastAsia"/>
          <w:color w:val="000000"/>
        </w:rPr>
        <w:t>实发</w:t>
      </w:r>
      <w:r>
        <w:rPr>
          <w:rFonts w:hint="eastAsia"/>
          <w:color w:val="000000"/>
          <w:spacing w:val="-20"/>
        </w:rPr>
        <w:t>展，积</w:t>
      </w:r>
      <w:r>
        <w:rPr>
          <w:rFonts w:hint="eastAsia"/>
          <w:color w:val="000000"/>
        </w:rPr>
        <w:t>极作</w:t>
      </w:r>
      <w:r>
        <w:rPr>
          <w:rFonts w:hint="eastAsia"/>
          <w:color w:val="000000"/>
          <w:spacing w:val="-20"/>
        </w:rPr>
        <w:t>为，确</w:t>
      </w:r>
      <w:r>
        <w:rPr>
          <w:rFonts w:hint="eastAsia"/>
          <w:color w:val="000000"/>
        </w:rPr>
        <w:t>保如期全面建成小康社</w:t>
      </w:r>
      <w:r>
        <w:rPr>
          <w:rFonts w:hint="eastAsia"/>
          <w:color w:val="000000"/>
          <w:spacing w:val="-20"/>
        </w:rPr>
        <w:t>会，为</w:t>
      </w:r>
      <w:r>
        <w:rPr>
          <w:rFonts w:hint="eastAsia"/>
          <w:color w:val="000000"/>
        </w:rPr>
        <w:t>全面实现现代化奠定坚实基础。</w:t>
      </w:r>
    </w:p>
    <w:p>
      <w:pPr>
        <w:spacing w:line="580" w:lineRule="exact"/>
        <w:ind w:firstLine="632" w:firstLineChars="200"/>
        <w:rPr>
          <w:rFonts w:ascii="方正仿宋_GBK" w:hAnsi="方正仿宋_GBK"/>
          <w:color w:val="000000"/>
        </w:rPr>
      </w:pPr>
      <w:r>
        <w:rPr>
          <w:rFonts w:hint="eastAsia" w:ascii="方正仿宋_GBK" w:hAnsi="方正仿宋_GBK"/>
          <w:color w:val="000000"/>
        </w:rPr>
        <w:t>如期实现全面建成小康社会奋斗目标，推动经济社会持续健康发展，必须遵循以下原则：坚持人民主体地位，汇聚民智民力；坚持科学发展，转变发展方式；坚持扩大开放，促进内外联动；坚持深化改革，激发动力活力；坚持依法治市，突出规范引领；坚持党的领导，强化政治保证。</w:t>
      </w:r>
    </w:p>
    <w:p>
      <w:pPr>
        <w:pStyle w:val="4"/>
        <w:spacing w:before="0" w:after="0" w:line="580" w:lineRule="exact"/>
        <w:jc w:val="center"/>
        <w:rPr>
          <w:rFonts w:eastAsia="方正仿宋_GBK"/>
        </w:rPr>
      </w:pPr>
      <w:bookmarkStart w:id="19" w:name="_Toc29986"/>
      <w:r>
        <w:rPr>
          <w:rFonts w:hint="eastAsia" w:eastAsia="方正仿宋_GBK"/>
        </w:rPr>
        <w:t>第二节</w:t>
      </w:r>
      <w:r>
        <w:rPr>
          <w:rFonts w:eastAsia="方正仿宋_GBK"/>
        </w:rPr>
        <w:t xml:space="preserve">  </w:t>
      </w:r>
      <w:r>
        <w:rPr>
          <w:rFonts w:hint="eastAsia" w:eastAsia="方正仿宋_GBK"/>
        </w:rPr>
        <w:t>发展目标</w:t>
      </w:r>
      <w:bookmarkEnd w:id="17"/>
      <w:bookmarkEnd w:id="18"/>
      <w:bookmarkEnd w:id="19"/>
    </w:p>
    <w:p>
      <w:pPr>
        <w:spacing w:line="580" w:lineRule="exact"/>
        <w:ind w:firstLine="632" w:firstLineChars="200"/>
        <w:rPr>
          <w:color w:val="000000"/>
        </w:rPr>
      </w:pPr>
      <w:r>
        <w:rPr>
          <w:rFonts w:hint="eastAsia"/>
          <w:color w:val="000000"/>
        </w:rPr>
        <w:t>综合考虑宏观环境和发展条件，“十三五”期间经济社会发展的总体目标是：确保到</w:t>
      </w:r>
      <w:r>
        <w:rPr>
          <w:color w:val="000000"/>
        </w:rPr>
        <w:t>2020</w:t>
      </w:r>
      <w:r>
        <w:rPr>
          <w:rFonts w:hint="eastAsia"/>
          <w:color w:val="000000"/>
        </w:rPr>
        <w:t>年全面建成小康社会，基本形成现代化建设格局。</w:t>
      </w:r>
    </w:p>
    <w:p>
      <w:pPr>
        <w:spacing w:line="580" w:lineRule="exact"/>
        <w:ind w:firstLine="634" w:firstLineChars="200"/>
        <w:rPr>
          <w:color w:val="000000"/>
        </w:rPr>
      </w:pPr>
      <w:r>
        <w:rPr>
          <w:b/>
          <w:bCs/>
          <w:color w:val="000000"/>
        </w:rPr>
        <w:t>——</w:t>
      </w:r>
      <w:r>
        <w:rPr>
          <w:rFonts w:hint="eastAsia"/>
          <w:b/>
          <w:bCs/>
          <w:color w:val="000000"/>
        </w:rPr>
        <w:t>经济保持快速增长。</w:t>
      </w:r>
      <w:r>
        <w:rPr>
          <w:rFonts w:hint="eastAsia"/>
          <w:color w:val="000000"/>
        </w:rPr>
        <w:t>全市生产总值和城乡居民人均收入比</w:t>
      </w:r>
      <w:r>
        <w:rPr>
          <w:color w:val="000000"/>
        </w:rPr>
        <w:t>2010</w:t>
      </w:r>
      <w:r>
        <w:rPr>
          <w:rFonts w:hint="eastAsia"/>
          <w:color w:val="000000"/>
        </w:rPr>
        <w:t>年翻一番以上，生产总值年均增速高于全省平均水平</w:t>
      </w:r>
      <w:r>
        <w:rPr>
          <w:color w:val="000000"/>
        </w:rPr>
        <w:t>1</w:t>
      </w:r>
      <w:r>
        <w:rPr>
          <w:rFonts w:hint="eastAsia"/>
          <w:color w:val="000000"/>
        </w:rPr>
        <w:t>个百分点以上，力争经济社会发展主要人均指标达到或接近全国平均水平。</w:t>
      </w:r>
    </w:p>
    <w:p>
      <w:pPr>
        <w:spacing w:line="580" w:lineRule="exact"/>
        <w:ind w:firstLine="634" w:firstLineChars="200"/>
        <w:rPr>
          <w:b/>
          <w:bCs/>
          <w:color w:val="000000"/>
        </w:rPr>
      </w:pPr>
      <w:r>
        <w:rPr>
          <w:b/>
          <w:bCs/>
          <w:color w:val="000000"/>
        </w:rPr>
        <w:t>——</w:t>
      </w:r>
      <w:r>
        <w:rPr>
          <w:rFonts w:hint="eastAsia"/>
          <w:b/>
          <w:bCs/>
          <w:color w:val="000000"/>
        </w:rPr>
        <w:t>创新驱动取得新进展。</w:t>
      </w:r>
      <w:r>
        <w:rPr>
          <w:rFonts w:hint="eastAsia"/>
          <w:color w:val="000000"/>
        </w:rPr>
        <w:t>新型工业化、新型城镇化加速推进，户籍人口城镇化率大幅提升，农业现代化水平加速提高，信息化显著发展。供给侧结构性改革</w:t>
      </w:r>
      <w:r>
        <w:rPr>
          <w:rStyle w:val="8"/>
        </w:rPr>
        <w:footnoteReference w:id="3"/>
      </w:r>
      <w:r>
        <w:rPr>
          <w:rFonts w:hint="eastAsia"/>
          <w:color w:val="000000"/>
        </w:rPr>
        <w:t>取得进展，生态经济快速发展，服务业比重明显上升。内陆开放高地基本建成。科技明显进步，进入人力资源强市行列。</w:t>
      </w:r>
    </w:p>
    <w:p>
      <w:pPr>
        <w:spacing w:line="580" w:lineRule="exact"/>
        <w:ind w:firstLine="634" w:firstLineChars="200"/>
        <w:rPr>
          <w:color w:val="000000"/>
        </w:rPr>
      </w:pPr>
      <w:r>
        <w:rPr>
          <w:b/>
          <w:bCs/>
          <w:color w:val="000000"/>
        </w:rPr>
        <w:t>——</w:t>
      </w:r>
      <w:r>
        <w:rPr>
          <w:rFonts w:hint="eastAsia"/>
          <w:b/>
          <w:bCs/>
          <w:color w:val="000000"/>
        </w:rPr>
        <w:t>人民生活水平和质量普遍提高。</w:t>
      </w:r>
      <w:r>
        <w:rPr>
          <w:rFonts w:hint="eastAsia"/>
          <w:color w:val="000000"/>
        </w:rPr>
        <w:t>确保</w:t>
      </w:r>
      <w:r>
        <w:rPr>
          <w:color w:val="000000"/>
        </w:rPr>
        <w:t>2017</w:t>
      </w:r>
      <w:r>
        <w:rPr>
          <w:rFonts w:hint="eastAsia"/>
          <w:color w:val="000000"/>
        </w:rPr>
        <w:t>年前实现全市</w:t>
      </w:r>
      <w:r>
        <w:rPr>
          <w:color w:val="000000"/>
        </w:rPr>
        <w:t>70%</w:t>
      </w:r>
      <w:r>
        <w:rPr>
          <w:rFonts w:hint="eastAsia"/>
          <w:color w:val="000000"/>
        </w:rPr>
        <w:t>以上贫困人口稳定脱贫，</w:t>
      </w:r>
      <w:r>
        <w:rPr>
          <w:color w:val="000000"/>
        </w:rPr>
        <w:t>2019</w:t>
      </w:r>
      <w:r>
        <w:rPr>
          <w:rFonts w:hint="eastAsia"/>
          <w:color w:val="000000"/>
        </w:rPr>
        <w:t>年前全市贫困人口整体脱贫，贫困县全部摘帽。收入差距缩小，就业比较充分，就业、教育、文化、社保、医疗、住房、养老等公共服务体系更加健全。</w:t>
      </w:r>
    </w:p>
    <w:p>
      <w:pPr>
        <w:spacing w:line="580" w:lineRule="exact"/>
        <w:ind w:firstLine="634" w:firstLineChars="200"/>
        <w:rPr>
          <w:color w:val="000000"/>
        </w:rPr>
      </w:pPr>
      <w:r>
        <w:rPr>
          <w:b/>
          <w:bCs/>
          <w:color w:val="000000"/>
        </w:rPr>
        <w:t>——</w:t>
      </w:r>
      <w:r>
        <w:rPr>
          <w:rFonts w:hint="eastAsia"/>
          <w:b/>
          <w:bCs/>
          <w:color w:val="000000"/>
        </w:rPr>
        <w:t>生态优势持续提升。</w:t>
      </w:r>
      <w:r>
        <w:rPr>
          <w:rFonts w:hint="eastAsia"/>
          <w:color w:val="000000"/>
        </w:rPr>
        <w:t>资源节约型、环境友好型社会建设取得重大进展，生产方式和生活方式绿色、低碳水平上升。能源和水资源消耗、建设用地、碳排放总量得到有效控制，主要污染物排放总量大幅减少，空气质量和水环境质量全省领先。森林覆盖率和森林蓄积量持续增长，主体功能区建设试点示范工作稳步推进。</w:t>
      </w:r>
    </w:p>
    <w:p>
      <w:pPr>
        <w:spacing w:line="580" w:lineRule="exact"/>
        <w:ind w:firstLine="634" w:firstLineChars="200"/>
        <w:rPr>
          <w:color w:val="000000"/>
        </w:rPr>
      </w:pPr>
      <w:r>
        <w:rPr>
          <w:b/>
          <w:bCs/>
          <w:color w:val="000000"/>
        </w:rPr>
        <w:t>——</w:t>
      </w:r>
      <w:r>
        <w:rPr>
          <w:rFonts w:hint="eastAsia"/>
          <w:b/>
          <w:bCs/>
          <w:color w:val="000000"/>
        </w:rPr>
        <w:t>全民素质和社会文明程度显著提高。</w:t>
      </w:r>
      <w:r>
        <w:rPr>
          <w:rFonts w:hint="eastAsia"/>
          <w:color w:val="000000"/>
        </w:rPr>
        <w:t>中国梦和社会主义核心价值观更加深入人心，爱国主义、集体主义、社会主义思想广泛弘扬，向上向善、诚信互助的社会</w:t>
      </w:r>
      <w:r>
        <w:fldChar w:fldCharType="begin"/>
      </w:r>
      <w:r>
        <w:instrText xml:space="preserve">HYPERLINK "http://car.auto.ifeng.com/series/1758/" \t "_blank"</w:instrText>
      </w:r>
      <w:r>
        <w:fldChar w:fldCharType="separate"/>
      </w:r>
      <w:r>
        <w:rPr>
          <w:rFonts w:hint="eastAsia"/>
          <w:color w:val="000000"/>
        </w:rPr>
        <w:t>风尚</w:t>
      </w:r>
      <w:r>
        <w:fldChar w:fldCharType="end"/>
      </w:r>
      <w:r>
        <w:rPr>
          <w:rFonts w:hint="eastAsia"/>
          <w:color w:val="000000"/>
        </w:rPr>
        <w:t>更加浓厚，人民群众思想道德素质、科学文化素质、健康素质明显提高。文化事业持续发展，公共文化服务体系基本建成。</w:t>
      </w:r>
    </w:p>
    <w:p>
      <w:pPr>
        <w:widowControl/>
        <w:spacing w:line="580" w:lineRule="exact"/>
        <w:ind w:firstLine="634" w:firstLineChars="200"/>
        <w:jc w:val="left"/>
        <w:rPr>
          <w:rFonts w:eastAsia="仿宋_GB2312"/>
          <w:color w:val="000000"/>
        </w:rPr>
      </w:pPr>
      <w:r>
        <w:rPr>
          <w:b/>
          <w:bCs/>
          <w:color w:val="000000"/>
        </w:rPr>
        <w:t>——</w:t>
      </w:r>
      <w:r>
        <w:rPr>
          <w:rFonts w:hint="eastAsia"/>
          <w:b/>
          <w:bCs/>
          <w:color w:val="000000"/>
        </w:rPr>
        <w:t>治理体系和治理能力现代化迈出坚实步伐。</w:t>
      </w:r>
      <w:r>
        <w:rPr>
          <w:rFonts w:hint="eastAsia"/>
          <w:color w:val="000000"/>
        </w:rPr>
        <w:t>重点领域和关键环节改革落实到位，试点示范取得显著成效。人民民主更加健全，法治政府基本建成，司法公信力明显提高。基层治理和服务水平大幅提升。党的建设制度化、科学化水平显著提高。</w:t>
      </w:r>
    </w:p>
    <w:tbl>
      <w:tblPr>
        <w:tblStyle w:val="7"/>
        <w:tblW w:w="832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
        <w:gridCol w:w="911"/>
        <w:gridCol w:w="191"/>
        <w:gridCol w:w="2008"/>
        <w:gridCol w:w="6"/>
        <w:gridCol w:w="1208"/>
        <w:gridCol w:w="973"/>
        <w:gridCol w:w="6"/>
        <w:gridCol w:w="1003"/>
        <w:gridCol w:w="6"/>
        <w:gridCol w:w="955"/>
        <w:gridCol w:w="6"/>
        <w:gridCol w:w="810"/>
        <w:gridCol w:w="6"/>
        <w:gridCol w:w="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577" w:hRule="atLeast"/>
          <w:jc w:val="center"/>
        </w:trPr>
        <w:tc>
          <w:tcPr>
            <w:tcW w:w="8095" w:type="dxa"/>
            <w:gridSpan w:val="14"/>
            <w:vAlign w:val="center"/>
          </w:tcPr>
          <w:p>
            <w:pPr>
              <w:spacing w:line="400" w:lineRule="exact"/>
              <w:jc w:val="center"/>
              <w:rPr>
                <w:rFonts w:eastAsia="方正小标宋_GBK"/>
                <w:color w:val="000000"/>
                <w:kern w:val="0"/>
                <w:sz w:val="28"/>
                <w:szCs w:val="24"/>
              </w:rPr>
            </w:pPr>
            <w:r>
              <w:rPr>
                <w:rFonts w:hint="eastAsia" w:eastAsia="方正小标宋_GBK"/>
                <w:color w:val="000000"/>
                <w:kern w:val="0"/>
                <w:sz w:val="28"/>
                <w:szCs w:val="24"/>
              </w:rPr>
              <w:t>专栏</w:t>
            </w:r>
            <w:r>
              <w:rPr>
                <w:rFonts w:eastAsia="方正小标宋_GBK"/>
                <w:color w:val="000000"/>
                <w:kern w:val="0"/>
                <w:sz w:val="28"/>
                <w:szCs w:val="24"/>
              </w:rPr>
              <w:t>2</w:t>
            </w:r>
            <w:r>
              <w:rPr>
                <w:rFonts w:hint="eastAsia" w:eastAsia="方正小标宋_GBK"/>
                <w:color w:val="000000"/>
                <w:kern w:val="0"/>
                <w:sz w:val="28"/>
                <w:szCs w:val="24"/>
              </w:rPr>
              <w:t>：</w:t>
            </w:r>
            <w:r>
              <w:rPr>
                <w:rFonts w:eastAsia="方正小标宋_GBK"/>
                <w:color w:val="000000"/>
                <w:kern w:val="0"/>
                <w:sz w:val="28"/>
                <w:szCs w:val="24"/>
              </w:rPr>
              <w:t>“</w:t>
            </w:r>
            <w:r>
              <w:rPr>
                <w:rFonts w:hint="eastAsia" w:eastAsia="方正小标宋_GBK"/>
                <w:color w:val="000000"/>
                <w:kern w:val="0"/>
                <w:sz w:val="28"/>
                <w:szCs w:val="24"/>
              </w:rPr>
              <w:t>十三五</w:t>
            </w:r>
            <w:r>
              <w:rPr>
                <w:rFonts w:eastAsia="方正小标宋_GBK"/>
                <w:color w:val="000000"/>
                <w:kern w:val="0"/>
                <w:sz w:val="28"/>
                <w:szCs w:val="24"/>
              </w:rPr>
              <w:t>”</w:t>
            </w:r>
            <w:r>
              <w:rPr>
                <w:rFonts w:hint="eastAsia" w:eastAsia="方正小标宋_GBK"/>
                <w:color w:val="000000"/>
                <w:kern w:val="0"/>
                <w:sz w:val="28"/>
                <w:szCs w:val="24"/>
              </w:rPr>
              <w:t>经济社会发展主要指标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738" w:hRule="atLeast"/>
          <w:jc w:val="center"/>
        </w:trPr>
        <w:tc>
          <w:tcPr>
            <w:tcW w:w="3122" w:type="dxa"/>
            <w:gridSpan w:val="5"/>
            <w:vAlign w:val="center"/>
          </w:tcPr>
          <w:p>
            <w:pPr>
              <w:spacing w:line="400" w:lineRule="exact"/>
              <w:jc w:val="center"/>
              <w:rPr>
                <w:rFonts w:eastAsia="黑体"/>
                <w:color w:val="000000"/>
                <w:kern w:val="0"/>
                <w:sz w:val="24"/>
                <w:szCs w:val="24"/>
              </w:rPr>
            </w:pPr>
            <w:r>
              <w:rPr>
                <w:rFonts w:hint="eastAsia" w:eastAsia="黑体"/>
                <w:color w:val="000000"/>
                <w:kern w:val="0"/>
                <w:sz w:val="24"/>
                <w:szCs w:val="24"/>
              </w:rPr>
              <w:t>指</w:t>
            </w:r>
            <w:r>
              <w:rPr>
                <w:rFonts w:eastAsia="黑体"/>
                <w:color w:val="000000"/>
                <w:kern w:val="0"/>
                <w:sz w:val="24"/>
                <w:szCs w:val="24"/>
              </w:rPr>
              <w:t xml:space="preserve"> </w:t>
            </w:r>
            <w:r>
              <w:rPr>
                <w:rFonts w:hint="eastAsia" w:eastAsia="黑体"/>
                <w:color w:val="000000"/>
                <w:kern w:val="0"/>
                <w:sz w:val="24"/>
                <w:szCs w:val="24"/>
              </w:rPr>
              <w:t>标</w:t>
            </w:r>
          </w:p>
        </w:tc>
        <w:tc>
          <w:tcPr>
            <w:tcW w:w="1208" w:type="dxa"/>
            <w:vAlign w:val="center"/>
          </w:tcPr>
          <w:p>
            <w:pPr>
              <w:spacing w:line="400" w:lineRule="exact"/>
              <w:jc w:val="center"/>
              <w:rPr>
                <w:rFonts w:eastAsia="黑体"/>
                <w:color w:val="000000"/>
                <w:kern w:val="0"/>
                <w:sz w:val="24"/>
                <w:szCs w:val="24"/>
              </w:rPr>
            </w:pPr>
            <w:r>
              <w:rPr>
                <w:rFonts w:eastAsia="黑体"/>
                <w:color w:val="000000"/>
                <w:kern w:val="0"/>
                <w:sz w:val="24"/>
                <w:szCs w:val="24"/>
              </w:rPr>
              <w:t>2015</w:t>
            </w:r>
            <w:r>
              <w:rPr>
                <w:rFonts w:hint="eastAsia" w:eastAsia="黑体"/>
                <w:color w:val="000000"/>
                <w:kern w:val="0"/>
                <w:sz w:val="24"/>
                <w:szCs w:val="24"/>
              </w:rPr>
              <w:t>年</w:t>
            </w:r>
          </w:p>
          <w:p>
            <w:pPr>
              <w:spacing w:line="400" w:lineRule="exact"/>
              <w:jc w:val="center"/>
              <w:rPr>
                <w:rFonts w:eastAsia="黑体"/>
                <w:color w:val="000000"/>
                <w:kern w:val="0"/>
                <w:sz w:val="24"/>
                <w:szCs w:val="24"/>
              </w:rPr>
            </w:pPr>
            <w:r>
              <w:rPr>
                <w:rFonts w:hint="eastAsia" w:eastAsia="黑体"/>
                <w:color w:val="000000"/>
                <w:kern w:val="0"/>
                <w:sz w:val="24"/>
                <w:szCs w:val="24"/>
              </w:rPr>
              <w:t>基数</w:t>
            </w:r>
          </w:p>
        </w:tc>
        <w:tc>
          <w:tcPr>
            <w:tcW w:w="979" w:type="dxa"/>
            <w:gridSpan w:val="2"/>
            <w:vAlign w:val="center"/>
          </w:tcPr>
          <w:p>
            <w:pPr>
              <w:spacing w:line="400" w:lineRule="exact"/>
              <w:jc w:val="center"/>
              <w:rPr>
                <w:rFonts w:eastAsia="黑体"/>
                <w:color w:val="000000"/>
                <w:kern w:val="0"/>
                <w:sz w:val="24"/>
                <w:szCs w:val="24"/>
              </w:rPr>
            </w:pPr>
            <w:r>
              <w:rPr>
                <w:rFonts w:eastAsia="黑体"/>
                <w:color w:val="000000"/>
                <w:kern w:val="0"/>
                <w:sz w:val="24"/>
                <w:szCs w:val="24"/>
              </w:rPr>
              <w:t>2020</w:t>
            </w:r>
            <w:r>
              <w:rPr>
                <w:rFonts w:hint="eastAsia" w:eastAsia="黑体"/>
                <w:color w:val="000000"/>
                <w:kern w:val="0"/>
                <w:sz w:val="24"/>
                <w:szCs w:val="24"/>
              </w:rPr>
              <w:t>年</w:t>
            </w:r>
          </w:p>
          <w:p>
            <w:pPr>
              <w:spacing w:line="400" w:lineRule="exact"/>
              <w:jc w:val="center"/>
              <w:rPr>
                <w:rFonts w:eastAsia="黑体"/>
                <w:color w:val="000000"/>
                <w:kern w:val="0"/>
                <w:sz w:val="24"/>
                <w:szCs w:val="24"/>
              </w:rPr>
            </w:pPr>
            <w:r>
              <w:rPr>
                <w:rFonts w:hint="eastAsia" w:eastAsia="黑体"/>
                <w:color w:val="000000"/>
                <w:kern w:val="0"/>
                <w:sz w:val="24"/>
                <w:szCs w:val="24"/>
              </w:rPr>
              <w:t>目标</w:t>
            </w:r>
          </w:p>
        </w:tc>
        <w:tc>
          <w:tcPr>
            <w:tcW w:w="1009" w:type="dxa"/>
            <w:gridSpan w:val="2"/>
            <w:vAlign w:val="center"/>
          </w:tcPr>
          <w:p>
            <w:pPr>
              <w:spacing w:line="400" w:lineRule="exact"/>
              <w:jc w:val="center"/>
              <w:rPr>
                <w:rFonts w:eastAsia="黑体"/>
                <w:color w:val="000000"/>
                <w:kern w:val="0"/>
                <w:sz w:val="24"/>
                <w:szCs w:val="24"/>
              </w:rPr>
            </w:pPr>
            <w:r>
              <w:rPr>
                <w:rFonts w:hint="eastAsia" w:eastAsia="黑体"/>
                <w:color w:val="000000"/>
                <w:kern w:val="0"/>
                <w:sz w:val="24"/>
                <w:szCs w:val="24"/>
              </w:rPr>
              <w:t>年均增长（</w:t>
            </w:r>
            <w:r>
              <w:rPr>
                <w:rFonts w:eastAsia="黑体"/>
                <w:color w:val="000000"/>
                <w:kern w:val="0"/>
                <w:sz w:val="24"/>
                <w:szCs w:val="24"/>
              </w:rPr>
              <w:t>%</w:t>
            </w:r>
            <w:r>
              <w:rPr>
                <w:rFonts w:hint="eastAsia" w:eastAsia="黑体"/>
                <w:color w:val="000000"/>
                <w:kern w:val="0"/>
                <w:sz w:val="24"/>
                <w:szCs w:val="24"/>
              </w:rPr>
              <w:t>）</w:t>
            </w:r>
          </w:p>
        </w:tc>
        <w:tc>
          <w:tcPr>
            <w:tcW w:w="961" w:type="dxa"/>
            <w:gridSpan w:val="2"/>
            <w:vAlign w:val="center"/>
          </w:tcPr>
          <w:p>
            <w:pPr>
              <w:spacing w:line="400" w:lineRule="exact"/>
              <w:jc w:val="center"/>
              <w:rPr>
                <w:rFonts w:eastAsia="黑体"/>
                <w:color w:val="000000"/>
                <w:kern w:val="0"/>
                <w:sz w:val="24"/>
                <w:szCs w:val="24"/>
              </w:rPr>
            </w:pPr>
            <w:r>
              <w:rPr>
                <w:rFonts w:hint="eastAsia" w:eastAsia="黑体"/>
                <w:color w:val="000000"/>
                <w:kern w:val="0"/>
                <w:sz w:val="24"/>
                <w:szCs w:val="24"/>
              </w:rPr>
              <w:t>属性</w:t>
            </w:r>
          </w:p>
        </w:tc>
        <w:tc>
          <w:tcPr>
            <w:tcW w:w="816" w:type="dxa"/>
            <w:gridSpan w:val="2"/>
            <w:vAlign w:val="center"/>
          </w:tcPr>
          <w:p>
            <w:pPr>
              <w:spacing w:line="400" w:lineRule="exact"/>
              <w:jc w:val="center"/>
              <w:rPr>
                <w:rFonts w:eastAsia="黑体"/>
                <w:color w:val="000000"/>
                <w:kern w:val="0"/>
                <w:sz w:val="24"/>
                <w:szCs w:val="24"/>
              </w:rPr>
            </w:pPr>
            <w:r>
              <w:rPr>
                <w:rFonts w:hint="eastAsia" w:eastAsia="黑体"/>
                <w:color w:val="000000"/>
                <w:kern w:val="0"/>
                <w:sz w:val="24"/>
                <w:szCs w:val="24"/>
              </w:rPr>
              <w:t>类别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510" w:hRule="exact"/>
          <w:jc w:val="center"/>
        </w:trPr>
        <w:tc>
          <w:tcPr>
            <w:tcW w:w="8095" w:type="dxa"/>
            <w:gridSpan w:val="14"/>
            <w:vAlign w:val="center"/>
          </w:tcPr>
          <w:p>
            <w:pPr>
              <w:spacing w:line="400" w:lineRule="exact"/>
              <w:rPr>
                <w:rFonts w:eastAsia="仿宋_GB2312"/>
                <w:b/>
                <w:bCs/>
                <w:color w:val="000000"/>
                <w:kern w:val="0"/>
                <w:sz w:val="24"/>
                <w:szCs w:val="24"/>
              </w:rPr>
            </w:pPr>
            <w:r>
              <w:rPr>
                <w:rFonts w:hint="eastAsia" w:eastAsia="仿宋_GB2312"/>
                <w:b/>
                <w:bCs/>
                <w:color w:val="000000"/>
                <w:kern w:val="0"/>
                <w:sz w:val="24"/>
                <w:szCs w:val="24"/>
              </w:rPr>
              <w:t>一、经济发展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425" w:hRule="exact"/>
          <w:jc w:val="center"/>
        </w:trPr>
        <w:tc>
          <w:tcPr>
            <w:tcW w:w="3122" w:type="dxa"/>
            <w:gridSpan w:val="5"/>
            <w:vAlign w:val="center"/>
          </w:tcPr>
          <w:p>
            <w:pPr>
              <w:spacing w:line="400" w:lineRule="exact"/>
              <w:rPr>
                <w:color w:val="000000"/>
                <w:kern w:val="0"/>
                <w:sz w:val="24"/>
                <w:szCs w:val="24"/>
              </w:rPr>
            </w:pPr>
            <w:r>
              <w:rPr>
                <w:color w:val="000000"/>
                <w:kern w:val="0"/>
                <w:sz w:val="24"/>
                <w:szCs w:val="24"/>
              </w:rPr>
              <w:t>1</w:t>
            </w:r>
            <w:r>
              <w:rPr>
                <w:rFonts w:hint="eastAsia"/>
                <w:color w:val="000000"/>
                <w:kern w:val="0"/>
                <w:sz w:val="24"/>
                <w:szCs w:val="24"/>
              </w:rPr>
              <w:t>、</w:t>
            </w:r>
            <w:r>
              <w:rPr>
                <w:rFonts w:hint="eastAsia"/>
                <w:color w:val="000000"/>
                <w:spacing w:val="-20"/>
                <w:kern w:val="0"/>
                <w:sz w:val="24"/>
                <w:szCs w:val="24"/>
              </w:rPr>
              <w:t>地区生产总值（</w:t>
            </w:r>
            <w:r>
              <w:rPr>
                <w:color w:val="000000"/>
                <w:spacing w:val="-20"/>
                <w:kern w:val="0"/>
                <w:sz w:val="24"/>
                <w:szCs w:val="24"/>
              </w:rPr>
              <w:t>GDP</w:t>
            </w:r>
            <w:r>
              <w:rPr>
                <w:rFonts w:hint="eastAsia"/>
                <w:color w:val="000000"/>
                <w:spacing w:val="-20"/>
                <w:kern w:val="0"/>
                <w:sz w:val="24"/>
                <w:szCs w:val="24"/>
              </w:rPr>
              <w:t>）</w:t>
            </w:r>
            <w:r>
              <w:rPr>
                <w:color w:val="000000"/>
                <w:spacing w:val="-20"/>
                <w:kern w:val="0"/>
                <w:sz w:val="24"/>
                <w:szCs w:val="24"/>
              </w:rPr>
              <w:t>(</w:t>
            </w:r>
            <w:r>
              <w:rPr>
                <w:rFonts w:hint="eastAsia"/>
                <w:color w:val="000000"/>
                <w:spacing w:val="-20"/>
                <w:kern w:val="0"/>
                <w:sz w:val="24"/>
                <w:szCs w:val="24"/>
              </w:rPr>
              <w:t>亿</w:t>
            </w:r>
            <w:r>
              <w:rPr>
                <w:rFonts w:hint="eastAsia"/>
                <w:color w:val="000000"/>
                <w:kern w:val="0"/>
                <w:sz w:val="24"/>
                <w:szCs w:val="24"/>
              </w:rPr>
              <w:t>元</w:t>
            </w:r>
            <w:r>
              <w:rPr>
                <w:color w:val="000000"/>
                <w:kern w:val="0"/>
                <w:sz w:val="24"/>
                <w:szCs w:val="24"/>
              </w:rPr>
              <w:t>)</w:t>
            </w:r>
          </w:p>
        </w:tc>
        <w:tc>
          <w:tcPr>
            <w:tcW w:w="1208" w:type="dxa"/>
            <w:vAlign w:val="center"/>
          </w:tcPr>
          <w:p>
            <w:pPr>
              <w:spacing w:line="400" w:lineRule="exact"/>
              <w:jc w:val="center"/>
              <w:rPr>
                <w:color w:val="000000"/>
                <w:kern w:val="0"/>
                <w:sz w:val="24"/>
                <w:szCs w:val="24"/>
              </w:rPr>
            </w:pPr>
            <w:r>
              <w:rPr>
                <w:color w:val="000000"/>
                <w:kern w:val="0"/>
                <w:sz w:val="24"/>
                <w:szCs w:val="24"/>
              </w:rPr>
              <w:t>1878</w:t>
            </w:r>
          </w:p>
        </w:tc>
        <w:tc>
          <w:tcPr>
            <w:tcW w:w="979" w:type="dxa"/>
            <w:gridSpan w:val="2"/>
            <w:vAlign w:val="center"/>
          </w:tcPr>
          <w:p>
            <w:pPr>
              <w:spacing w:line="400" w:lineRule="exact"/>
              <w:jc w:val="center"/>
              <w:rPr>
                <w:color w:val="000000"/>
                <w:kern w:val="0"/>
                <w:sz w:val="24"/>
                <w:szCs w:val="24"/>
              </w:rPr>
            </w:pPr>
            <w:r>
              <w:rPr>
                <w:color w:val="000000"/>
                <w:kern w:val="0"/>
                <w:sz w:val="24"/>
                <w:szCs w:val="24"/>
              </w:rPr>
              <w:t>2890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9</w:t>
            </w:r>
            <w:r>
              <w:rPr>
                <w:rFonts w:hint="eastAsia"/>
                <w:color w:val="000000"/>
                <w:kern w:val="0"/>
                <w:sz w:val="24"/>
                <w:szCs w:val="24"/>
              </w:rPr>
              <w:t>左右</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425" w:hRule="exact"/>
          <w:jc w:val="center"/>
        </w:trPr>
        <w:tc>
          <w:tcPr>
            <w:tcW w:w="3122" w:type="dxa"/>
            <w:gridSpan w:val="5"/>
            <w:vAlign w:val="center"/>
          </w:tcPr>
          <w:p>
            <w:pPr>
              <w:spacing w:line="400" w:lineRule="exact"/>
              <w:rPr>
                <w:color w:val="000000"/>
                <w:kern w:val="0"/>
                <w:sz w:val="24"/>
                <w:szCs w:val="24"/>
              </w:rPr>
            </w:pPr>
            <w:r>
              <w:rPr>
                <w:color w:val="000000"/>
                <w:kern w:val="0"/>
                <w:sz w:val="24"/>
                <w:szCs w:val="24"/>
              </w:rPr>
              <w:t>2</w:t>
            </w:r>
            <w:r>
              <w:rPr>
                <w:rFonts w:hint="eastAsia"/>
                <w:color w:val="000000"/>
                <w:kern w:val="0"/>
                <w:sz w:val="24"/>
                <w:szCs w:val="24"/>
              </w:rPr>
              <w:t>、全员劳动生产率（元</w:t>
            </w:r>
            <w:r>
              <w:rPr>
                <w:color w:val="000000"/>
                <w:kern w:val="0"/>
                <w:sz w:val="24"/>
                <w:szCs w:val="24"/>
              </w:rPr>
              <w:t>/</w:t>
            </w:r>
            <w:r>
              <w:rPr>
                <w:rFonts w:hint="eastAsia"/>
                <w:color w:val="000000"/>
                <w:kern w:val="0"/>
                <w:sz w:val="24"/>
                <w:szCs w:val="24"/>
              </w:rPr>
              <w:t>人）</w:t>
            </w:r>
          </w:p>
        </w:tc>
        <w:tc>
          <w:tcPr>
            <w:tcW w:w="1208" w:type="dxa"/>
            <w:vAlign w:val="center"/>
          </w:tcPr>
          <w:p>
            <w:pPr>
              <w:spacing w:line="400" w:lineRule="exact"/>
              <w:jc w:val="center"/>
              <w:rPr>
                <w:kern w:val="0"/>
                <w:sz w:val="24"/>
                <w:szCs w:val="24"/>
              </w:rPr>
            </w:pPr>
            <w:r>
              <w:rPr>
                <w:kern w:val="0"/>
                <w:sz w:val="24"/>
                <w:szCs w:val="24"/>
              </w:rPr>
              <w:t>56343*</w:t>
            </w:r>
          </w:p>
        </w:tc>
        <w:tc>
          <w:tcPr>
            <w:tcW w:w="979" w:type="dxa"/>
            <w:gridSpan w:val="2"/>
            <w:vAlign w:val="center"/>
          </w:tcPr>
          <w:p>
            <w:pPr>
              <w:spacing w:line="400" w:lineRule="exact"/>
              <w:jc w:val="center"/>
              <w:rPr>
                <w:kern w:val="0"/>
                <w:sz w:val="24"/>
                <w:szCs w:val="24"/>
              </w:rPr>
            </w:pPr>
            <w:r>
              <w:rPr>
                <w:kern w:val="0"/>
                <w:sz w:val="24"/>
                <w:szCs w:val="24"/>
              </w:rPr>
              <w:t>80400</w:t>
            </w:r>
          </w:p>
        </w:tc>
        <w:tc>
          <w:tcPr>
            <w:tcW w:w="1009" w:type="dxa"/>
            <w:gridSpan w:val="2"/>
            <w:vAlign w:val="center"/>
          </w:tcPr>
          <w:p>
            <w:pPr>
              <w:spacing w:line="400" w:lineRule="exact"/>
              <w:jc w:val="center"/>
              <w:rPr>
                <w:kern w:val="0"/>
                <w:sz w:val="24"/>
                <w:szCs w:val="24"/>
              </w:rPr>
            </w:pPr>
            <w:r>
              <w:rPr>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425" w:hRule="exact"/>
          <w:jc w:val="center"/>
        </w:trPr>
        <w:tc>
          <w:tcPr>
            <w:tcW w:w="3122" w:type="dxa"/>
            <w:gridSpan w:val="5"/>
            <w:vAlign w:val="center"/>
          </w:tcPr>
          <w:p>
            <w:pPr>
              <w:spacing w:line="400" w:lineRule="exact"/>
              <w:rPr>
                <w:color w:val="000000"/>
                <w:kern w:val="0"/>
                <w:sz w:val="24"/>
                <w:szCs w:val="24"/>
              </w:rPr>
            </w:pPr>
            <w:r>
              <w:rPr>
                <w:color w:val="000000"/>
                <w:kern w:val="0"/>
                <w:sz w:val="24"/>
                <w:szCs w:val="24"/>
              </w:rPr>
              <w:t>3</w:t>
            </w:r>
            <w:r>
              <w:rPr>
                <w:rFonts w:hint="eastAsia"/>
                <w:color w:val="000000"/>
                <w:kern w:val="0"/>
                <w:sz w:val="24"/>
                <w:szCs w:val="24"/>
              </w:rPr>
              <w:t>、</w:t>
            </w:r>
            <w:r>
              <w:rPr>
                <w:rFonts w:hint="eastAsia"/>
                <w:color w:val="000000"/>
                <w:spacing w:val="-20"/>
                <w:kern w:val="0"/>
                <w:sz w:val="24"/>
                <w:szCs w:val="24"/>
              </w:rPr>
              <w:t>全社会固定资产投资（亿</w:t>
            </w:r>
            <w:r>
              <w:rPr>
                <w:rFonts w:hint="eastAsia"/>
                <w:color w:val="000000"/>
                <w:kern w:val="0"/>
                <w:sz w:val="24"/>
                <w:szCs w:val="24"/>
              </w:rPr>
              <w:t>元）</w:t>
            </w:r>
          </w:p>
        </w:tc>
        <w:tc>
          <w:tcPr>
            <w:tcW w:w="1208" w:type="dxa"/>
            <w:vAlign w:val="center"/>
          </w:tcPr>
          <w:p>
            <w:pPr>
              <w:spacing w:line="400" w:lineRule="exact"/>
              <w:jc w:val="center"/>
              <w:rPr>
                <w:kern w:val="0"/>
                <w:sz w:val="24"/>
                <w:szCs w:val="24"/>
              </w:rPr>
            </w:pPr>
            <w:r>
              <w:rPr>
                <w:kern w:val="0"/>
                <w:sz w:val="24"/>
                <w:szCs w:val="24"/>
              </w:rPr>
              <w:t>2085</w:t>
            </w:r>
          </w:p>
        </w:tc>
        <w:tc>
          <w:tcPr>
            <w:tcW w:w="979" w:type="dxa"/>
            <w:gridSpan w:val="2"/>
            <w:vAlign w:val="center"/>
          </w:tcPr>
          <w:p>
            <w:pPr>
              <w:spacing w:line="400" w:lineRule="exact"/>
              <w:jc w:val="center"/>
              <w:rPr>
                <w:kern w:val="0"/>
                <w:sz w:val="24"/>
                <w:szCs w:val="24"/>
              </w:rPr>
            </w:pPr>
            <w:r>
              <w:rPr>
                <w:kern w:val="0"/>
                <w:sz w:val="24"/>
                <w:szCs w:val="24"/>
              </w:rPr>
              <w:t>-</w:t>
            </w:r>
          </w:p>
        </w:tc>
        <w:tc>
          <w:tcPr>
            <w:tcW w:w="1009" w:type="dxa"/>
            <w:gridSpan w:val="2"/>
            <w:vAlign w:val="center"/>
          </w:tcPr>
          <w:p>
            <w:pPr>
              <w:spacing w:line="400" w:lineRule="exact"/>
              <w:jc w:val="center"/>
              <w:rPr>
                <w:kern w:val="0"/>
                <w:sz w:val="24"/>
                <w:szCs w:val="24"/>
              </w:rPr>
            </w:pPr>
            <w:r>
              <w:rPr>
                <w:kern w:val="0"/>
                <w:sz w:val="24"/>
                <w:szCs w:val="24"/>
              </w:rPr>
              <w:t>13</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30" w:type="dxa"/>
          <w:trHeight w:val="425" w:hRule="exact"/>
          <w:jc w:val="center"/>
        </w:trPr>
        <w:tc>
          <w:tcPr>
            <w:tcW w:w="3122" w:type="dxa"/>
            <w:gridSpan w:val="5"/>
            <w:vAlign w:val="center"/>
          </w:tcPr>
          <w:p>
            <w:pPr>
              <w:spacing w:line="400" w:lineRule="exact"/>
              <w:rPr>
                <w:color w:val="000000"/>
                <w:kern w:val="0"/>
                <w:sz w:val="24"/>
                <w:szCs w:val="24"/>
              </w:rPr>
            </w:pPr>
            <w:r>
              <w:rPr>
                <w:color w:val="000000"/>
                <w:kern w:val="0"/>
                <w:sz w:val="24"/>
                <w:szCs w:val="24"/>
              </w:rPr>
              <w:t>4</w:t>
            </w:r>
            <w:r>
              <w:rPr>
                <w:rFonts w:hint="eastAsia"/>
                <w:color w:val="000000"/>
                <w:kern w:val="0"/>
                <w:sz w:val="24"/>
                <w:szCs w:val="24"/>
              </w:rPr>
              <w:t>、外贸进出口总额（亿美元）</w:t>
            </w:r>
          </w:p>
        </w:tc>
        <w:tc>
          <w:tcPr>
            <w:tcW w:w="1208" w:type="dxa"/>
            <w:vAlign w:val="center"/>
          </w:tcPr>
          <w:p>
            <w:pPr>
              <w:spacing w:line="400" w:lineRule="exact"/>
              <w:jc w:val="center"/>
              <w:rPr>
                <w:color w:val="000000"/>
                <w:kern w:val="0"/>
                <w:sz w:val="24"/>
                <w:szCs w:val="24"/>
              </w:rPr>
            </w:pPr>
            <w:r>
              <w:rPr>
                <w:color w:val="000000"/>
                <w:kern w:val="0"/>
                <w:sz w:val="24"/>
                <w:szCs w:val="24"/>
              </w:rPr>
              <w:t>6.4</w:t>
            </w:r>
          </w:p>
        </w:tc>
        <w:tc>
          <w:tcPr>
            <w:tcW w:w="979" w:type="dxa"/>
            <w:gridSpan w:val="2"/>
            <w:vAlign w:val="center"/>
          </w:tcPr>
          <w:p>
            <w:pPr>
              <w:spacing w:line="400" w:lineRule="exact"/>
              <w:jc w:val="center"/>
              <w:rPr>
                <w:color w:val="000000"/>
                <w:kern w:val="0"/>
                <w:sz w:val="24"/>
                <w:szCs w:val="24"/>
              </w:rPr>
            </w:pPr>
            <w:r>
              <w:rPr>
                <w:color w:val="000000"/>
                <w:kern w:val="0"/>
                <w:sz w:val="24"/>
                <w:szCs w:val="24"/>
              </w:rPr>
              <w:t>9.4</w:t>
            </w:r>
          </w:p>
        </w:tc>
        <w:tc>
          <w:tcPr>
            <w:tcW w:w="1009" w:type="dxa"/>
            <w:gridSpan w:val="2"/>
            <w:vAlign w:val="center"/>
          </w:tcPr>
          <w:p>
            <w:pPr>
              <w:spacing w:line="400" w:lineRule="exact"/>
              <w:jc w:val="center"/>
              <w:rPr>
                <w:color w:val="000000"/>
                <w:kern w:val="0"/>
                <w:sz w:val="24"/>
                <w:szCs w:val="24"/>
              </w:rPr>
            </w:pPr>
            <w:r>
              <w:rPr>
                <w:color w:val="000000"/>
                <w:kern w:val="0"/>
                <w:sz w:val="24"/>
                <w:szCs w:val="24"/>
              </w:rPr>
              <w:t>8</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1"/>
          <w:wBefore w:w="6" w:type="dxa"/>
          <w:wAfter w:w="230" w:type="dxa"/>
          <w:trHeight w:val="425" w:hRule="exact"/>
          <w:jc w:val="center"/>
        </w:trPr>
        <w:tc>
          <w:tcPr>
            <w:tcW w:w="3116" w:type="dxa"/>
            <w:gridSpan w:val="4"/>
            <w:vAlign w:val="center"/>
          </w:tcPr>
          <w:p>
            <w:pPr>
              <w:spacing w:line="400" w:lineRule="exact"/>
              <w:rPr>
                <w:color w:val="000000"/>
                <w:kern w:val="0"/>
                <w:sz w:val="24"/>
                <w:szCs w:val="24"/>
              </w:rPr>
            </w:pPr>
            <w:r>
              <w:rPr>
                <w:color w:val="000000"/>
                <w:kern w:val="0"/>
                <w:sz w:val="24"/>
                <w:szCs w:val="24"/>
              </w:rPr>
              <w:t>5</w:t>
            </w:r>
            <w:r>
              <w:rPr>
                <w:rFonts w:hint="eastAsia"/>
                <w:color w:val="000000"/>
                <w:kern w:val="0"/>
                <w:sz w:val="24"/>
                <w:szCs w:val="24"/>
              </w:rPr>
              <w:t>、服务业增加值比重（</w:t>
            </w:r>
            <w:r>
              <w:rPr>
                <w:color w:val="000000"/>
                <w:kern w:val="0"/>
                <w:sz w:val="24"/>
                <w:szCs w:val="24"/>
              </w:rPr>
              <w:t>%</w:t>
            </w:r>
            <w:r>
              <w:rPr>
                <w:rFonts w:hint="eastAsia"/>
                <w:color w:val="000000"/>
                <w:kern w:val="0"/>
                <w:sz w:val="24"/>
                <w:szCs w:val="24"/>
              </w:rPr>
              <w:t>）</w:t>
            </w:r>
          </w:p>
        </w:tc>
        <w:tc>
          <w:tcPr>
            <w:tcW w:w="1208" w:type="dxa"/>
            <w:vAlign w:val="center"/>
          </w:tcPr>
          <w:p>
            <w:pPr>
              <w:spacing w:line="400" w:lineRule="exact"/>
              <w:jc w:val="center"/>
              <w:rPr>
                <w:color w:val="000000"/>
                <w:kern w:val="0"/>
                <w:sz w:val="24"/>
                <w:szCs w:val="24"/>
              </w:rPr>
            </w:pPr>
            <w:r>
              <w:rPr>
                <w:color w:val="000000"/>
                <w:kern w:val="0"/>
                <w:sz w:val="24"/>
                <w:szCs w:val="24"/>
              </w:rPr>
              <w:t>35.6</w:t>
            </w:r>
          </w:p>
        </w:tc>
        <w:tc>
          <w:tcPr>
            <w:tcW w:w="979" w:type="dxa"/>
            <w:gridSpan w:val="2"/>
            <w:vAlign w:val="center"/>
          </w:tcPr>
          <w:p>
            <w:pPr>
              <w:spacing w:line="400" w:lineRule="exact"/>
              <w:jc w:val="center"/>
              <w:rPr>
                <w:color w:val="000000"/>
                <w:kern w:val="0"/>
                <w:sz w:val="24"/>
                <w:szCs w:val="24"/>
              </w:rPr>
            </w:pPr>
            <w:r>
              <w:rPr>
                <w:color w:val="000000"/>
                <w:kern w:val="0"/>
                <w:sz w:val="24"/>
                <w:szCs w:val="24"/>
              </w:rPr>
              <w:t>43</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1"/>
          <w:wBefore w:w="6" w:type="dxa"/>
          <w:wAfter w:w="230" w:type="dxa"/>
          <w:cantSplit/>
          <w:trHeight w:val="425" w:hRule="exact"/>
          <w:jc w:val="center"/>
        </w:trPr>
        <w:tc>
          <w:tcPr>
            <w:tcW w:w="911" w:type="dxa"/>
            <w:vMerge w:val="restart"/>
            <w:vAlign w:val="center"/>
          </w:tcPr>
          <w:p>
            <w:pPr>
              <w:spacing w:line="400" w:lineRule="exact"/>
              <w:ind w:left="236" w:hanging="236" w:hangingChars="100"/>
              <w:rPr>
                <w:color w:val="000000"/>
                <w:kern w:val="0"/>
                <w:sz w:val="24"/>
                <w:szCs w:val="24"/>
              </w:rPr>
            </w:pPr>
            <w:r>
              <w:rPr>
                <w:color w:val="000000"/>
                <w:kern w:val="0"/>
                <w:sz w:val="24"/>
                <w:szCs w:val="24"/>
              </w:rPr>
              <w:t>6</w:t>
            </w:r>
            <w:r>
              <w:rPr>
                <w:rFonts w:hint="eastAsia"/>
                <w:color w:val="000000"/>
                <w:kern w:val="0"/>
                <w:sz w:val="24"/>
                <w:szCs w:val="24"/>
              </w:rPr>
              <w:t>、</w:t>
            </w:r>
            <w:r>
              <w:rPr>
                <w:rFonts w:hint="eastAsia"/>
                <w:color w:val="000000"/>
                <w:spacing w:val="-20"/>
                <w:kern w:val="0"/>
                <w:sz w:val="24"/>
                <w:szCs w:val="24"/>
              </w:rPr>
              <w:t>城镇化率</w:t>
            </w:r>
          </w:p>
        </w:tc>
        <w:tc>
          <w:tcPr>
            <w:tcW w:w="2205" w:type="dxa"/>
            <w:gridSpan w:val="3"/>
            <w:vAlign w:val="center"/>
          </w:tcPr>
          <w:p>
            <w:pPr>
              <w:spacing w:line="400" w:lineRule="exact"/>
              <w:rPr>
                <w:color w:val="000000"/>
                <w:spacing w:val="-20"/>
                <w:kern w:val="0"/>
                <w:sz w:val="24"/>
                <w:szCs w:val="24"/>
              </w:rPr>
            </w:pPr>
            <w:r>
              <w:rPr>
                <w:rFonts w:hint="eastAsia"/>
                <w:color w:val="000000"/>
                <w:spacing w:val="-20"/>
                <w:kern w:val="0"/>
                <w:sz w:val="24"/>
                <w:szCs w:val="24"/>
              </w:rPr>
              <w:t>常住人口城镇化率（</w:t>
            </w:r>
            <w:r>
              <w:rPr>
                <w:color w:val="000000"/>
                <w:spacing w:val="-20"/>
                <w:kern w:val="0"/>
                <w:sz w:val="24"/>
                <w:szCs w:val="24"/>
              </w:rPr>
              <w:t>%</w:t>
            </w:r>
            <w:r>
              <w:rPr>
                <w:rFonts w:hint="eastAsia"/>
                <w:color w:val="000000"/>
                <w:spacing w:val="-20"/>
                <w:kern w:val="0"/>
                <w:sz w:val="24"/>
                <w:szCs w:val="24"/>
              </w:rPr>
              <w:t>）</w:t>
            </w:r>
          </w:p>
        </w:tc>
        <w:tc>
          <w:tcPr>
            <w:tcW w:w="1208" w:type="dxa"/>
            <w:vAlign w:val="center"/>
          </w:tcPr>
          <w:p>
            <w:pPr>
              <w:spacing w:line="400" w:lineRule="exact"/>
              <w:jc w:val="center"/>
              <w:rPr>
                <w:color w:val="000000"/>
                <w:kern w:val="0"/>
                <w:sz w:val="24"/>
                <w:szCs w:val="24"/>
              </w:rPr>
            </w:pPr>
            <w:r>
              <w:rPr>
                <w:color w:val="000000"/>
                <w:kern w:val="0"/>
                <w:sz w:val="24"/>
                <w:szCs w:val="24"/>
              </w:rPr>
              <w:t>42.8</w:t>
            </w:r>
          </w:p>
        </w:tc>
        <w:tc>
          <w:tcPr>
            <w:tcW w:w="979" w:type="dxa"/>
            <w:gridSpan w:val="2"/>
            <w:vAlign w:val="center"/>
          </w:tcPr>
          <w:p>
            <w:pPr>
              <w:spacing w:line="400" w:lineRule="exact"/>
              <w:jc w:val="center"/>
              <w:rPr>
                <w:color w:val="000000"/>
                <w:kern w:val="0"/>
                <w:sz w:val="24"/>
                <w:szCs w:val="24"/>
              </w:rPr>
            </w:pPr>
            <w:r>
              <w:rPr>
                <w:color w:val="000000"/>
                <w:kern w:val="0"/>
                <w:sz w:val="24"/>
                <w:szCs w:val="24"/>
              </w:rPr>
              <w:t>52.8</w:t>
            </w:r>
          </w:p>
        </w:tc>
        <w:tc>
          <w:tcPr>
            <w:tcW w:w="1009" w:type="dxa"/>
            <w:gridSpan w:val="2"/>
            <w:vAlign w:val="center"/>
          </w:tcPr>
          <w:p>
            <w:pPr>
              <w:spacing w:line="400" w:lineRule="exact"/>
              <w:jc w:val="center"/>
              <w:rPr>
                <w:color w:val="000000"/>
                <w:kern w:val="0"/>
                <w:sz w:val="24"/>
                <w:szCs w:val="24"/>
              </w:rPr>
            </w:pPr>
            <w:r>
              <w:rPr>
                <w:color w:val="000000"/>
                <w:kern w:val="0"/>
                <w:sz w:val="24"/>
                <w:szCs w:val="24"/>
              </w:rPr>
              <w:t>2</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1"/>
          <w:wBefore w:w="6" w:type="dxa"/>
          <w:wAfter w:w="230" w:type="dxa"/>
          <w:cantSplit/>
          <w:trHeight w:val="425" w:hRule="exact"/>
          <w:jc w:val="center"/>
        </w:trPr>
        <w:tc>
          <w:tcPr>
            <w:tcW w:w="911" w:type="dxa"/>
            <w:vMerge w:val="continue"/>
            <w:vAlign w:val="center"/>
          </w:tcPr>
          <w:p>
            <w:pPr>
              <w:spacing w:line="400" w:lineRule="exact"/>
              <w:rPr>
                <w:color w:val="000000"/>
                <w:kern w:val="0"/>
                <w:sz w:val="24"/>
                <w:szCs w:val="24"/>
              </w:rPr>
            </w:pPr>
          </w:p>
        </w:tc>
        <w:tc>
          <w:tcPr>
            <w:tcW w:w="2205" w:type="dxa"/>
            <w:gridSpan w:val="3"/>
            <w:vAlign w:val="center"/>
          </w:tcPr>
          <w:p>
            <w:pPr>
              <w:spacing w:line="400" w:lineRule="exact"/>
              <w:rPr>
                <w:color w:val="000000"/>
                <w:spacing w:val="-20"/>
                <w:kern w:val="0"/>
                <w:sz w:val="24"/>
                <w:szCs w:val="24"/>
              </w:rPr>
            </w:pPr>
            <w:r>
              <w:rPr>
                <w:rFonts w:hint="eastAsia"/>
                <w:color w:val="000000"/>
                <w:spacing w:val="-20"/>
                <w:kern w:val="0"/>
                <w:sz w:val="24"/>
                <w:szCs w:val="24"/>
              </w:rPr>
              <w:t>户籍人口城镇化率（</w:t>
            </w:r>
            <w:r>
              <w:rPr>
                <w:color w:val="000000"/>
                <w:spacing w:val="-20"/>
                <w:kern w:val="0"/>
                <w:sz w:val="24"/>
                <w:szCs w:val="24"/>
              </w:rPr>
              <w:t>%</w:t>
            </w:r>
            <w:r>
              <w:rPr>
                <w:rFonts w:hint="eastAsia"/>
                <w:color w:val="000000"/>
                <w:spacing w:val="-20"/>
                <w:kern w:val="0"/>
                <w:sz w:val="24"/>
                <w:szCs w:val="24"/>
              </w:rPr>
              <w:t>）</w:t>
            </w:r>
          </w:p>
        </w:tc>
        <w:tc>
          <w:tcPr>
            <w:tcW w:w="1208" w:type="dxa"/>
            <w:vAlign w:val="center"/>
          </w:tcPr>
          <w:p>
            <w:pPr>
              <w:spacing w:line="400" w:lineRule="exact"/>
              <w:jc w:val="center"/>
              <w:rPr>
                <w:kern w:val="0"/>
                <w:sz w:val="24"/>
                <w:szCs w:val="24"/>
              </w:rPr>
            </w:pPr>
            <w:r>
              <w:rPr>
                <w:kern w:val="0"/>
                <w:sz w:val="24"/>
                <w:szCs w:val="24"/>
              </w:rPr>
              <w:t>22.4*</w:t>
            </w:r>
          </w:p>
        </w:tc>
        <w:tc>
          <w:tcPr>
            <w:tcW w:w="979" w:type="dxa"/>
            <w:gridSpan w:val="2"/>
            <w:vAlign w:val="center"/>
          </w:tcPr>
          <w:p>
            <w:pPr>
              <w:spacing w:line="400" w:lineRule="exact"/>
              <w:jc w:val="center"/>
              <w:rPr>
                <w:kern w:val="0"/>
                <w:sz w:val="24"/>
                <w:szCs w:val="24"/>
              </w:rPr>
            </w:pPr>
            <w:r>
              <w:rPr>
                <w:kern w:val="0"/>
                <w:sz w:val="24"/>
                <w:szCs w:val="24"/>
              </w:rPr>
              <w:t>40</w:t>
            </w:r>
            <w:r>
              <w:rPr>
                <w:rFonts w:hint="eastAsia"/>
                <w:kern w:val="0"/>
                <w:sz w:val="24"/>
                <w:szCs w:val="24"/>
              </w:rPr>
              <w:t>左右</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1"/>
          <w:wBefore w:w="6" w:type="dxa"/>
          <w:wAfter w:w="230" w:type="dxa"/>
          <w:trHeight w:val="282" w:hRule="atLeast"/>
          <w:jc w:val="center"/>
        </w:trPr>
        <w:tc>
          <w:tcPr>
            <w:tcW w:w="8089" w:type="dxa"/>
            <w:gridSpan w:val="13"/>
            <w:vAlign w:val="center"/>
          </w:tcPr>
          <w:p>
            <w:pPr>
              <w:spacing w:line="400" w:lineRule="exact"/>
              <w:rPr>
                <w:b/>
                <w:bCs/>
                <w:color w:val="000000"/>
                <w:kern w:val="0"/>
                <w:sz w:val="24"/>
                <w:szCs w:val="24"/>
              </w:rPr>
            </w:pPr>
            <w:r>
              <w:rPr>
                <w:rFonts w:hint="eastAsia"/>
                <w:b/>
                <w:bCs/>
                <w:color w:val="000000"/>
                <w:kern w:val="0"/>
                <w:sz w:val="24"/>
                <w:szCs w:val="24"/>
              </w:rPr>
              <w:t>二、创新驱动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390" w:hRule="atLeast"/>
          <w:jc w:val="center"/>
        </w:trPr>
        <w:tc>
          <w:tcPr>
            <w:tcW w:w="3110" w:type="dxa"/>
            <w:gridSpan w:val="3"/>
            <w:vAlign w:val="center"/>
          </w:tcPr>
          <w:p>
            <w:pPr>
              <w:spacing w:line="400" w:lineRule="exact"/>
              <w:ind w:left="472" w:hanging="472" w:hangingChars="200"/>
              <w:jc w:val="left"/>
              <w:rPr>
                <w:color w:val="000000"/>
                <w:kern w:val="0"/>
                <w:sz w:val="24"/>
                <w:szCs w:val="24"/>
              </w:rPr>
            </w:pPr>
            <w:r>
              <w:rPr>
                <w:color w:val="000000"/>
                <w:kern w:val="0"/>
                <w:sz w:val="24"/>
                <w:szCs w:val="24"/>
              </w:rPr>
              <w:t>7</w:t>
            </w:r>
            <w:r>
              <w:rPr>
                <w:rFonts w:hint="eastAsia"/>
                <w:color w:val="000000"/>
                <w:kern w:val="0"/>
                <w:sz w:val="24"/>
                <w:szCs w:val="24"/>
              </w:rPr>
              <w:t>、研究与试验发展（</w:t>
            </w:r>
            <w:r>
              <w:rPr>
                <w:color w:val="000000"/>
                <w:kern w:val="0"/>
                <w:sz w:val="24"/>
                <w:szCs w:val="24"/>
              </w:rPr>
              <w:t>R&amp;D</w:t>
            </w:r>
            <w:r>
              <w:rPr>
                <w:rFonts w:hint="eastAsia"/>
                <w:color w:val="000000"/>
                <w:kern w:val="0"/>
                <w:sz w:val="24"/>
                <w:szCs w:val="24"/>
              </w:rPr>
              <w:t>）经费投入强度（</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kern w:val="0"/>
                <w:sz w:val="24"/>
                <w:szCs w:val="24"/>
              </w:rPr>
            </w:pPr>
            <w:r>
              <w:rPr>
                <w:kern w:val="0"/>
                <w:sz w:val="24"/>
                <w:szCs w:val="24"/>
              </w:rPr>
              <w:t>1</w:t>
            </w:r>
          </w:p>
        </w:tc>
        <w:tc>
          <w:tcPr>
            <w:tcW w:w="973" w:type="dxa"/>
            <w:vAlign w:val="center"/>
          </w:tcPr>
          <w:p>
            <w:pPr>
              <w:spacing w:line="400" w:lineRule="exact"/>
              <w:jc w:val="center"/>
              <w:rPr>
                <w:kern w:val="0"/>
                <w:sz w:val="24"/>
                <w:szCs w:val="24"/>
              </w:rPr>
            </w:pPr>
            <w:r>
              <w:rPr>
                <w:kern w:val="0"/>
                <w:sz w:val="24"/>
                <w:szCs w:val="24"/>
              </w:rPr>
              <w:t>2</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425"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8</w:t>
            </w:r>
            <w:r>
              <w:rPr>
                <w:rFonts w:hint="eastAsia"/>
                <w:color w:val="000000"/>
                <w:kern w:val="0"/>
                <w:sz w:val="24"/>
                <w:szCs w:val="24"/>
              </w:rPr>
              <w:t>、</w:t>
            </w:r>
            <w:r>
              <w:rPr>
                <w:rFonts w:hint="eastAsia"/>
                <w:color w:val="000000"/>
                <w:spacing w:val="-10"/>
                <w:kern w:val="0"/>
                <w:sz w:val="24"/>
                <w:szCs w:val="24"/>
              </w:rPr>
              <w:t>每万人发明专利拥有量（件）</w:t>
            </w:r>
          </w:p>
        </w:tc>
        <w:tc>
          <w:tcPr>
            <w:tcW w:w="1214" w:type="dxa"/>
            <w:gridSpan w:val="2"/>
            <w:vAlign w:val="center"/>
          </w:tcPr>
          <w:p>
            <w:pPr>
              <w:spacing w:line="400" w:lineRule="exact"/>
              <w:jc w:val="center"/>
              <w:rPr>
                <w:color w:val="000000"/>
                <w:kern w:val="0"/>
                <w:sz w:val="24"/>
                <w:szCs w:val="24"/>
              </w:rPr>
            </w:pPr>
            <w:r>
              <w:rPr>
                <w:color w:val="000000"/>
                <w:kern w:val="0"/>
                <w:sz w:val="24"/>
                <w:szCs w:val="24"/>
              </w:rPr>
              <w:t>1</w:t>
            </w:r>
          </w:p>
        </w:tc>
        <w:tc>
          <w:tcPr>
            <w:tcW w:w="973" w:type="dxa"/>
            <w:vAlign w:val="center"/>
          </w:tcPr>
          <w:p>
            <w:pPr>
              <w:spacing w:line="400" w:lineRule="exact"/>
              <w:jc w:val="center"/>
              <w:rPr>
                <w:color w:val="000000"/>
                <w:kern w:val="0"/>
                <w:sz w:val="24"/>
                <w:szCs w:val="24"/>
              </w:rPr>
            </w:pPr>
            <w:r>
              <w:rPr>
                <w:color w:val="000000"/>
                <w:kern w:val="0"/>
                <w:sz w:val="24"/>
                <w:szCs w:val="24"/>
              </w:rPr>
              <w:t>2</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425"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9</w:t>
            </w:r>
            <w:r>
              <w:rPr>
                <w:rFonts w:hint="eastAsia"/>
                <w:color w:val="000000"/>
                <w:kern w:val="0"/>
                <w:sz w:val="24"/>
                <w:szCs w:val="24"/>
              </w:rPr>
              <w:t>、科技进步贡献率（</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kern w:val="0"/>
                <w:sz w:val="24"/>
                <w:szCs w:val="24"/>
              </w:rPr>
            </w:pPr>
            <w:r>
              <w:rPr>
                <w:kern w:val="0"/>
                <w:sz w:val="24"/>
                <w:szCs w:val="24"/>
              </w:rPr>
              <w:t>50*</w:t>
            </w:r>
          </w:p>
        </w:tc>
        <w:tc>
          <w:tcPr>
            <w:tcW w:w="973" w:type="dxa"/>
            <w:vAlign w:val="center"/>
          </w:tcPr>
          <w:p>
            <w:pPr>
              <w:spacing w:line="400" w:lineRule="exact"/>
              <w:jc w:val="center"/>
              <w:rPr>
                <w:kern w:val="0"/>
                <w:sz w:val="24"/>
                <w:szCs w:val="24"/>
              </w:rPr>
            </w:pPr>
            <w:r>
              <w:rPr>
                <w:kern w:val="0"/>
                <w:sz w:val="24"/>
                <w:szCs w:val="24"/>
              </w:rPr>
              <w:t>60</w:t>
            </w:r>
          </w:p>
        </w:tc>
        <w:tc>
          <w:tcPr>
            <w:tcW w:w="1009" w:type="dxa"/>
            <w:gridSpan w:val="2"/>
            <w:vAlign w:val="center"/>
          </w:tcPr>
          <w:p>
            <w:pPr>
              <w:spacing w:line="400" w:lineRule="exact"/>
              <w:jc w:val="center"/>
              <w:rPr>
                <w:kern w:val="0"/>
                <w:sz w:val="24"/>
                <w:szCs w:val="24"/>
              </w:rPr>
            </w:pPr>
            <w:r>
              <w:rPr>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911" w:hRule="exact"/>
          <w:jc w:val="center"/>
        </w:trPr>
        <w:tc>
          <w:tcPr>
            <w:tcW w:w="1102" w:type="dxa"/>
            <w:gridSpan w:val="2"/>
            <w:vMerge w:val="restart"/>
            <w:vAlign w:val="center"/>
          </w:tcPr>
          <w:p>
            <w:pPr>
              <w:spacing w:line="400" w:lineRule="exact"/>
              <w:jc w:val="left"/>
              <w:rPr>
                <w:color w:val="000000"/>
                <w:kern w:val="0"/>
                <w:sz w:val="24"/>
                <w:szCs w:val="24"/>
              </w:rPr>
            </w:pPr>
            <w:r>
              <w:rPr>
                <w:color w:val="000000"/>
                <w:kern w:val="0"/>
                <w:sz w:val="24"/>
                <w:szCs w:val="24"/>
              </w:rPr>
              <w:t>10</w:t>
            </w:r>
            <w:r>
              <w:rPr>
                <w:rFonts w:hint="eastAsia"/>
                <w:color w:val="000000"/>
                <w:kern w:val="0"/>
                <w:sz w:val="24"/>
                <w:szCs w:val="24"/>
              </w:rPr>
              <w:t>、互联网普及率（</w:t>
            </w:r>
            <w:r>
              <w:rPr>
                <w:color w:val="000000"/>
                <w:kern w:val="0"/>
                <w:sz w:val="24"/>
                <w:szCs w:val="24"/>
              </w:rPr>
              <w:t>%</w:t>
            </w:r>
            <w:r>
              <w:rPr>
                <w:rFonts w:hint="eastAsia"/>
                <w:color w:val="000000"/>
                <w:kern w:val="0"/>
                <w:sz w:val="24"/>
                <w:szCs w:val="24"/>
              </w:rPr>
              <w:t>）</w:t>
            </w:r>
          </w:p>
        </w:tc>
        <w:tc>
          <w:tcPr>
            <w:tcW w:w="2008" w:type="dxa"/>
            <w:vAlign w:val="center"/>
          </w:tcPr>
          <w:p>
            <w:pPr>
              <w:spacing w:line="400" w:lineRule="exact"/>
              <w:jc w:val="left"/>
              <w:rPr>
                <w:color w:val="000000"/>
                <w:kern w:val="0"/>
                <w:sz w:val="24"/>
                <w:szCs w:val="24"/>
              </w:rPr>
            </w:pPr>
            <w:r>
              <w:rPr>
                <w:rFonts w:hint="eastAsia"/>
                <w:color w:val="000000"/>
                <w:kern w:val="0"/>
                <w:sz w:val="24"/>
                <w:szCs w:val="24"/>
              </w:rPr>
              <w:t>固定宽带家庭普及率（</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kern w:val="0"/>
                <w:sz w:val="24"/>
                <w:szCs w:val="24"/>
              </w:rPr>
            </w:pPr>
            <w:r>
              <w:rPr>
                <w:kern w:val="0"/>
                <w:sz w:val="24"/>
                <w:szCs w:val="24"/>
              </w:rPr>
              <w:t>31.8*</w:t>
            </w:r>
          </w:p>
        </w:tc>
        <w:tc>
          <w:tcPr>
            <w:tcW w:w="973" w:type="dxa"/>
            <w:vAlign w:val="center"/>
          </w:tcPr>
          <w:p>
            <w:pPr>
              <w:spacing w:line="400" w:lineRule="exact"/>
              <w:jc w:val="center"/>
              <w:rPr>
                <w:kern w:val="0"/>
                <w:sz w:val="24"/>
                <w:szCs w:val="24"/>
              </w:rPr>
            </w:pPr>
            <w:r>
              <w:rPr>
                <w:kern w:val="0"/>
                <w:sz w:val="24"/>
                <w:szCs w:val="24"/>
              </w:rPr>
              <w:t>80</w:t>
            </w:r>
          </w:p>
        </w:tc>
        <w:tc>
          <w:tcPr>
            <w:tcW w:w="1009" w:type="dxa"/>
            <w:gridSpan w:val="2"/>
            <w:vAlign w:val="center"/>
          </w:tcPr>
          <w:p>
            <w:pPr>
              <w:spacing w:line="400" w:lineRule="exact"/>
              <w:jc w:val="center"/>
              <w:rPr>
                <w:kern w:val="0"/>
                <w:sz w:val="24"/>
                <w:szCs w:val="24"/>
              </w:rPr>
            </w:pPr>
            <w:r>
              <w:rPr>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981" w:hRule="exact"/>
          <w:jc w:val="center"/>
        </w:trPr>
        <w:tc>
          <w:tcPr>
            <w:tcW w:w="1102" w:type="dxa"/>
            <w:gridSpan w:val="2"/>
            <w:vMerge w:val="continue"/>
            <w:vAlign w:val="center"/>
          </w:tcPr>
          <w:p>
            <w:pPr>
              <w:spacing w:line="400" w:lineRule="exact"/>
              <w:jc w:val="left"/>
              <w:rPr>
                <w:color w:val="000000"/>
                <w:kern w:val="0"/>
                <w:sz w:val="24"/>
                <w:szCs w:val="24"/>
              </w:rPr>
            </w:pPr>
          </w:p>
        </w:tc>
        <w:tc>
          <w:tcPr>
            <w:tcW w:w="2008" w:type="dxa"/>
            <w:vAlign w:val="center"/>
          </w:tcPr>
          <w:p>
            <w:pPr>
              <w:spacing w:line="400" w:lineRule="exact"/>
              <w:jc w:val="left"/>
              <w:rPr>
                <w:color w:val="000000"/>
                <w:kern w:val="0"/>
                <w:sz w:val="24"/>
                <w:szCs w:val="24"/>
              </w:rPr>
            </w:pPr>
            <w:r>
              <w:rPr>
                <w:rFonts w:hint="eastAsia"/>
                <w:color w:val="000000"/>
                <w:kern w:val="0"/>
                <w:sz w:val="24"/>
                <w:szCs w:val="24"/>
              </w:rPr>
              <w:t>移动宽带用户普及率（</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kern w:val="0"/>
                <w:sz w:val="24"/>
                <w:szCs w:val="24"/>
              </w:rPr>
            </w:pPr>
            <w:r>
              <w:rPr>
                <w:kern w:val="0"/>
                <w:sz w:val="24"/>
                <w:szCs w:val="24"/>
              </w:rPr>
              <w:t>52*</w:t>
            </w:r>
          </w:p>
        </w:tc>
        <w:tc>
          <w:tcPr>
            <w:tcW w:w="973" w:type="dxa"/>
            <w:vAlign w:val="center"/>
          </w:tcPr>
          <w:p>
            <w:pPr>
              <w:spacing w:line="400" w:lineRule="exact"/>
              <w:jc w:val="center"/>
              <w:rPr>
                <w:kern w:val="0"/>
                <w:sz w:val="24"/>
                <w:szCs w:val="24"/>
              </w:rPr>
            </w:pPr>
            <w:r>
              <w:rPr>
                <w:kern w:val="0"/>
                <w:sz w:val="24"/>
                <w:szCs w:val="24"/>
              </w:rPr>
              <w:t>90</w:t>
            </w:r>
          </w:p>
        </w:tc>
        <w:tc>
          <w:tcPr>
            <w:tcW w:w="1009" w:type="dxa"/>
            <w:gridSpan w:val="2"/>
            <w:vAlign w:val="center"/>
          </w:tcPr>
          <w:p>
            <w:pPr>
              <w:spacing w:line="400" w:lineRule="exact"/>
              <w:jc w:val="center"/>
              <w:rPr>
                <w:sz w:val="24"/>
                <w:szCs w:val="24"/>
              </w:rPr>
            </w:pP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360" w:hRule="atLeast"/>
          <w:jc w:val="center"/>
        </w:trPr>
        <w:tc>
          <w:tcPr>
            <w:tcW w:w="8083" w:type="dxa"/>
            <w:gridSpan w:val="12"/>
            <w:vAlign w:val="center"/>
          </w:tcPr>
          <w:p>
            <w:pPr>
              <w:spacing w:line="400" w:lineRule="exact"/>
              <w:rPr>
                <w:b/>
                <w:bCs/>
                <w:color w:val="000000"/>
                <w:kern w:val="0"/>
                <w:sz w:val="24"/>
                <w:szCs w:val="24"/>
              </w:rPr>
            </w:pPr>
            <w:r>
              <w:rPr>
                <w:rFonts w:hint="eastAsia"/>
                <w:b/>
                <w:bCs/>
                <w:color w:val="000000"/>
                <w:kern w:val="0"/>
                <w:sz w:val="24"/>
                <w:szCs w:val="24"/>
              </w:rPr>
              <w:t>三、民生福祉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425"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11</w:t>
            </w:r>
            <w:r>
              <w:rPr>
                <w:rFonts w:hint="eastAsia"/>
                <w:color w:val="000000"/>
                <w:kern w:val="0"/>
                <w:sz w:val="24"/>
                <w:szCs w:val="24"/>
              </w:rPr>
              <w:t>、</w:t>
            </w:r>
            <w:r>
              <w:rPr>
                <w:rFonts w:hint="eastAsia"/>
                <w:color w:val="000000"/>
                <w:spacing w:val="-10"/>
                <w:kern w:val="0"/>
                <w:sz w:val="24"/>
                <w:szCs w:val="24"/>
              </w:rPr>
              <w:t>居民人均可支配收入增长</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Align w:val="center"/>
          </w:tcPr>
          <w:p>
            <w:pPr>
              <w:spacing w:line="400" w:lineRule="exact"/>
              <w:jc w:val="center"/>
              <w:rPr>
                <w:color w:val="000000"/>
                <w:kern w:val="0"/>
                <w:sz w:val="24"/>
                <w:szCs w:val="24"/>
              </w:rPr>
            </w:pPr>
            <w:r>
              <w:rPr>
                <w:color w:val="000000"/>
                <w:kern w:val="0"/>
                <w:sz w:val="24"/>
                <w:szCs w:val="24"/>
              </w:rPr>
              <w:t>-</w:t>
            </w:r>
          </w:p>
        </w:tc>
        <w:tc>
          <w:tcPr>
            <w:tcW w:w="1009" w:type="dxa"/>
            <w:gridSpan w:val="2"/>
            <w:vAlign w:val="center"/>
          </w:tcPr>
          <w:p>
            <w:pPr>
              <w:spacing w:line="400" w:lineRule="exact"/>
              <w:jc w:val="center"/>
              <w:rPr>
                <w:color w:val="000000"/>
                <w:kern w:val="0"/>
                <w:sz w:val="24"/>
                <w:szCs w:val="24"/>
              </w:rPr>
            </w:pPr>
            <w:r>
              <w:rPr>
                <w:sz w:val="24"/>
                <w:szCs w:val="24"/>
              </w:rPr>
              <w:t>11</w:t>
            </w:r>
            <w:r>
              <w:rPr>
                <w:rFonts w:hint="eastAsia"/>
                <w:sz w:val="24"/>
                <w:szCs w:val="24"/>
              </w:rPr>
              <w:t>左右</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864" w:hRule="exact"/>
          <w:jc w:val="center"/>
        </w:trPr>
        <w:tc>
          <w:tcPr>
            <w:tcW w:w="3110" w:type="dxa"/>
            <w:gridSpan w:val="3"/>
            <w:vAlign w:val="center"/>
          </w:tcPr>
          <w:p>
            <w:pPr>
              <w:spacing w:line="400" w:lineRule="exact"/>
              <w:rPr>
                <w:color w:val="000000"/>
                <w:kern w:val="0"/>
                <w:sz w:val="24"/>
                <w:szCs w:val="24"/>
              </w:rPr>
            </w:pPr>
            <w:r>
              <w:rPr>
                <w:color w:val="000000"/>
                <w:kern w:val="0"/>
                <w:sz w:val="24"/>
                <w:szCs w:val="24"/>
              </w:rPr>
              <w:t>12</w:t>
            </w:r>
            <w:r>
              <w:rPr>
                <w:rFonts w:hint="eastAsia"/>
                <w:color w:val="000000"/>
                <w:kern w:val="0"/>
                <w:sz w:val="24"/>
                <w:szCs w:val="24"/>
              </w:rPr>
              <w:t>、劳动年龄人口平均受教育年限（年）</w:t>
            </w:r>
          </w:p>
        </w:tc>
        <w:tc>
          <w:tcPr>
            <w:tcW w:w="1214" w:type="dxa"/>
            <w:gridSpan w:val="2"/>
            <w:vAlign w:val="center"/>
          </w:tcPr>
          <w:p>
            <w:pPr>
              <w:spacing w:line="400" w:lineRule="exact"/>
              <w:jc w:val="center"/>
              <w:rPr>
                <w:kern w:val="0"/>
                <w:sz w:val="24"/>
                <w:szCs w:val="24"/>
              </w:rPr>
            </w:pPr>
            <w:r>
              <w:rPr>
                <w:sz w:val="24"/>
                <w:szCs w:val="24"/>
              </w:rPr>
              <w:t>10.1</w:t>
            </w:r>
            <w:r>
              <w:rPr>
                <w:kern w:val="0"/>
                <w:sz w:val="24"/>
                <w:szCs w:val="24"/>
              </w:rPr>
              <w:t>*</w:t>
            </w:r>
          </w:p>
        </w:tc>
        <w:tc>
          <w:tcPr>
            <w:tcW w:w="973" w:type="dxa"/>
            <w:vAlign w:val="center"/>
          </w:tcPr>
          <w:p>
            <w:pPr>
              <w:spacing w:line="400" w:lineRule="exact"/>
              <w:jc w:val="center"/>
              <w:rPr>
                <w:kern w:val="0"/>
                <w:sz w:val="24"/>
                <w:szCs w:val="24"/>
              </w:rPr>
            </w:pPr>
            <w:r>
              <w:rPr>
                <w:sz w:val="24"/>
                <w:szCs w:val="24"/>
              </w:rPr>
              <w:t>10.5</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475" w:hRule="exact"/>
          <w:jc w:val="center"/>
        </w:trPr>
        <w:tc>
          <w:tcPr>
            <w:tcW w:w="3110" w:type="dxa"/>
            <w:gridSpan w:val="3"/>
            <w:vAlign w:val="center"/>
          </w:tcPr>
          <w:p>
            <w:pPr>
              <w:spacing w:line="400" w:lineRule="exact"/>
              <w:rPr>
                <w:color w:val="000000"/>
                <w:spacing w:val="-10"/>
                <w:kern w:val="0"/>
                <w:sz w:val="24"/>
                <w:szCs w:val="24"/>
              </w:rPr>
            </w:pPr>
            <w:r>
              <w:rPr>
                <w:color w:val="000000"/>
                <w:spacing w:val="-10"/>
                <w:kern w:val="0"/>
                <w:sz w:val="24"/>
                <w:szCs w:val="24"/>
              </w:rPr>
              <w:t>13</w:t>
            </w:r>
            <w:r>
              <w:rPr>
                <w:rFonts w:hint="eastAsia"/>
                <w:color w:val="000000"/>
                <w:spacing w:val="-10"/>
                <w:kern w:val="0"/>
                <w:sz w:val="24"/>
                <w:szCs w:val="24"/>
              </w:rPr>
              <w:t>、城镇新增就业人数（万人）</w:t>
            </w:r>
          </w:p>
        </w:tc>
        <w:tc>
          <w:tcPr>
            <w:tcW w:w="1214" w:type="dxa"/>
            <w:gridSpan w:val="2"/>
            <w:vAlign w:val="center"/>
          </w:tcPr>
          <w:p>
            <w:pPr>
              <w:spacing w:line="400" w:lineRule="exact"/>
              <w:jc w:val="center"/>
              <w:rPr>
                <w:color w:val="000000"/>
                <w:kern w:val="0"/>
                <w:sz w:val="24"/>
                <w:szCs w:val="24"/>
              </w:rPr>
            </w:pPr>
            <w:r>
              <w:rPr>
                <w:color w:val="000000"/>
                <w:kern w:val="0"/>
                <w:sz w:val="24"/>
                <w:szCs w:val="24"/>
              </w:rPr>
              <w:t>[49.5]</w:t>
            </w:r>
          </w:p>
        </w:tc>
        <w:tc>
          <w:tcPr>
            <w:tcW w:w="973" w:type="dxa"/>
            <w:vAlign w:val="center"/>
          </w:tcPr>
          <w:p>
            <w:pPr>
              <w:spacing w:line="400" w:lineRule="exact"/>
              <w:jc w:val="center"/>
              <w:rPr>
                <w:color w:val="000000"/>
                <w:kern w:val="0"/>
                <w:sz w:val="24"/>
                <w:szCs w:val="24"/>
              </w:rPr>
            </w:pPr>
            <w:r>
              <w:rPr>
                <w:color w:val="000000"/>
                <w:kern w:val="0"/>
                <w:sz w:val="24"/>
                <w:szCs w:val="24"/>
              </w:rPr>
              <w:t>[50]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555" w:hRule="exact"/>
          <w:jc w:val="center"/>
        </w:trPr>
        <w:tc>
          <w:tcPr>
            <w:tcW w:w="3110" w:type="dxa"/>
            <w:gridSpan w:val="3"/>
            <w:vAlign w:val="center"/>
          </w:tcPr>
          <w:p>
            <w:pPr>
              <w:spacing w:line="400" w:lineRule="exact"/>
              <w:jc w:val="left"/>
              <w:rPr>
                <w:color w:val="000000"/>
                <w:spacing w:val="-10"/>
                <w:kern w:val="0"/>
                <w:sz w:val="24"/>
                <w:szCs w:val="24"/>
              </w:rPr>
            </w:pPr>
            <w:r>
              <w:rPr>
                <w:color w:val="000000"/>
                <w:spacing w:val="-10"/>
                <w:kern w:val="0"/>
                <w:sz w:val="24"/>
                <w:szCs w:val="24"/>
              </w:rPr>
              <w:t>14</w:t>
            </w:r>
            <w:r>
              <w:rPr>
                <w:rFonts w:hint="eastAsia"/>
                <w:color w:val="000000"/>
                <w:spacing w:val="-10"/>
                <w:kern w:val="0"/>
                <w:sz w:val="24"/>
                <w:szCs w:val="24"/>
              </w:rPr>
              <w:t>、农村贫困人口脱贫（万人）</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Align w:val="center"/>
          </w:tcPr>
          <w:p>
            <w:pPr>
              <w:spacing w:line="400" w:lineRule="exact"/>
              <w:jc w:val="center"/>
              <w:rPr>
                <w:color w:val="000000"/>
                <w:kern w:val="0"/>
                <w:sz w:val="24"/>
                <w:szCs w:val="24"/>
              </w:rPr>
            </w:pPr>
            <w:r>
              <w:rPr>
                <w:color w:val="000000"/>
                <w:kern w:val="0"/>
                <w:sz w:val="24"/>
                <w:szCs w:val="24"/>
              </w:rPr>
              <w:t>[38]</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525" w:hRule="exact"/>
          <w:jc w:val="center"/>
        </w:trPr>
        <w:tc>
          <w:tcPr>
            <w:tcW w:w="3110" w:type="dxa"/>
            <w:gridSpan w:val="3"/>
            <w:vAlign w:val="center"/>
          </w:tcPr>
          <w:p>
            <w:pPr>
              <w:spacing w:line="400" w:lineRule="exact"/>
              <w:jc w:val="left"/>
              <w:rPr>
                <w:color w:val="000000"/>
                <w:spacing w:val="-10"/>
                <w:kern w:val="0"/>
                <w:sz w:val="24"/>
                <w:szCs w:val="24"/>
              </w:rPr>
            </w:pPr>
            <w:r>
              <w:rPr>
                <w:color w:val="000000"/>
                <w:spacing w:val="-10"/>
                <w:kern w:val="0"/>
                <w:sz w:val="24"/>
                <w:szCs w:val="24"/>
              </w:rPr>
              <w:t>15</w:t>
            </w:r>
            <w:r>
              <w:rPr>
                <w:rFonts w:hint="eastAsia"/>
                <w:color w:val="000000"/>
                <w:spacing w:val="-10"/>
                <w:kern w:val="0"/>
                <w:sz w:val="24"/>
                <w:szCs w:val="24"/>
              </w:rPr>
              <w:t>、基本养老保险参保率（</w:t>
            </w:r>
            <w:r>
              <w:rPr>
                <w:color w:val="000000"/>
                <w:spacing w:val="-10"/>
                <w:kern w:val="0"/>
                <w:sz w:val="24"/>
                <w:szCs w:val="24"/>
              </w:rPr>
              <w:t>%</w:t>
            </w:r>
            <w:r>
              <w:rPr>
                <w:rFonts w:hint="eastAsia"/>
                <w:color w:val="000000"/>
                <w:spacing w:val="-10"/>
                <w:kern w:val="0"/>
                <w:sz w:val="24"/>
                <w:szCs w:val="24"/>
              </w:rPr>
              <w:t>）</w:t>
            </w:r>
          </w:p>
        </w:tc>
        <w:tc>
          <w:tcPr>
            <w:tcW w:w="1214" w:type="dxa"/>
            <w:gridSpan w:val="2"/>
            <w:vAlign w:val="center"/>
          </w:tcPr>
          <w:p>
            <w:pPr>
              <w:spacing w:line="400" w:lineRule="exact"/>
              <w:jc w:val="center"/>
              <w:rPr>
                <w:color w:val="000000"/>
                <w:kern w:val="0"/>
                <w:sz w:val="24"/>
                <w:szCs w:val="24"/>
              </w:rPr>
            </w:pPr>
            <w:r>
              <w:rPr>
                <w:sz w:val="24"/>
                <w:szCs w:val="24"/>
              </w:rPr>
              <w:t>90</w:t>
            </w:r>
          </w:p>
        </w:tc>
        <w:tc>
          <w:tcPr>
            <w:tcW w:w="973" w:type="dxa"/>
            <w:vAlign w:val="center"/>
          </w:tcPr>
          <w:p>
            <w:pPr>
              <w:spacing w:line="400" w:lineRule="exact"/>
              <w:jc w:val="center"/>
              <w:rPr>
                <w:color w:val="000000"/>
                <w:kern w:val="0"/>
                <w:sz w:val="24"/>
                <w:szCs w:val="24"/>
              </w:rPr>
            </w:pPr>
            <w:r>
              <w:rPr>
                <w:sz w:val="24"/>
                <w:szCs w:val="24"/>
              </w:rPr>
              <w:t>95</w:t>
            </w:r>
            <w:r>
              <w:rPr>
                <w:rFonts w:hint="eastAsia"/>
                <w:sz w:val="24"/>
                <w:szCs w:val="24"/>
              </w:rPr>
              <w:t>以上</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542" w:hRule="exact"/>
          <w:jc w:val="center"/>
        </w:trPr>
        <w:tc>
          <w:tcPr>
            <w:tcW w:w="3110" w:type="dxa"/>
            <w:gridSpan w:val="3"/>
            <w:vAlign w:val="center"/>
          </w:tcPr>
          <w:p>
            <w:pPr>
              <w:spacing w:line="400" w:lineRule="exact"/>
              <w:jc w:val="left"/>
              <w:rPr>
                <w:color w:val="000000"/>
                <w:spacing w:val="-16"/>
                <w:kern w:val="0"/>
                <w:sz w:val="24"/>
                <w:szCs w:val="24"/>
              </w:rPr>
            </w:pPr>
            <w:r>
              <w:rPr>
                <w:color w:val="000000"/>
                <w:spacing w:val="-16"/>
                <w:kern w:val="0"/>
                <w:sz w:val="24"/>
                <w:szCs w:val="24"/>
              </w:rPr>
              <w:t>16</w:t>
            </w:r>
            <w:r>
              <w:rPr>
                <w:rFonts w:hint="eastAsia"/>
                <w:color w:val="000000"/>
                <w:spacing w:val="-16"/>
                <w:kern w:val="0"/>
                <w:sz w:val="24"/>
                <w:szCs w:val="24"/>
              </w:rPr>
              <w:t>、城镇棚户区住房改造（万套）</w:t>
            </w:r>
          </w:p>
        </w:tc>
        <w:tc>
          <w:tcPr>
            <w:tcW w:w="1214" w:type="dxa"/>
            <w:gridSpan w:val="2"/>
            <w:vAlign w:val="center"/>
          </w:tcPr>
          <w:p>
            <w:pPr>
              <w:spacing w:line="400" w:lineRule="exact"/>
              <w:jc w:val="center"/>
              <w:rPr>
                <w:color w:val="000000"/>
                <w:kern w:val="0"/>
                <w:sz w:val="24"/>
                <w:szCs w:val="24"/>
              </w:rPr>
            </w:pPr>
          </w:p>
        </w:tc>
        <w:tc>
          <w:tcPr>
            <w:tcW w:w="973" w:type="dxa"/>
            <w:vAlign w:val="center"/>
          </w:tcPr>
          <w:p>
            <w:pPr>
              <w:spacing w:line="400" w:lineRule="exact"/>
              <w:jc w:val="center"/>
              <w:rPr>
                <w:color w:val="000000"/>
                <w:kern w:val="0"/>
                <w:sz w:val="24"/>
                <w:szCs w:val="24"/>
              </w:rPr>
            </w:pPr>
            <w:r>
              <w:rPr>
                <w:color w:val="000000"/>
                <w:kern w:val="0"/>
                <w:sz w:val="24"/>
                <w:szCs w:val="24"/>
              </w:rPr>
              <w:t>[10]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475"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17</w:t>
            </w:r>
            <w:r>
              <w:rPr>
                <w:rFonts w:hint="eastAsia"/>
                <w:color w:val="000000"/>
                <w:kern w:val="0"/>
                <w:sz w:val="24"/>
                <w:szCs w:val="24"/>
              </w:rPr>
              <w:t>、人均预期寿命（岁）</w:t>
            </w:r>
          </w:p>
        </w:tc>
        <w:tc>
          <w:tcPr>
            <w:tcW w:w="1214" w:type="dxa"/>
            <w:gridSpan w:val="2"/>
            <w:vAlign w:val="center"/>
          </w:tcPr>
          <w:p>
            <w:pPr>
              <w:spacing w:line="400" w:lineRule="exact"/>
              <w:jc w:val="center"/>
              <w:rPr>
                <w:kern w:val="0"/>
                <w:sz w:val="24"/>
                <w:szCs w:val="24"/>
              </w:rPr>
            </w:pPr>
            <w:r>
              <w:rPr>
                <w:sz w:val="24"/>
                <w:szCs w:val="24"/>
              </w:rPr>
              <w:t>75.6</w:t>
            </w:r>
            <w:r>
              <w:rPr>
                <w:kern w:val="0"/>
                <w:sz w:val="24"/>
                <w:szCs w:val="24"/>
              </w:rPr>
              <w:t>*</w:t>
            </w:r>
          </w:p>
        </w:tc>
        <w:tc>
          <w:tcPr>
            <w:tcW w:w="973" w:type="dxa"/>
            <w:vAlign w:val="center"/>
          </w:tcPr>
          <w:p>
            <w:pPr>
              <w:spacing w:line="400" w:lineRule="exact"/>
              <w:jc w:val="center"/>
              <w:rPr>
                <w:kern w:val="0"/>
                <w:sz w:val="24"/>
                <w:szCs w:val="24"/>
              </w:rPr>
            </w:pPr>
            <w:r>
              <w:rPr>
                <w:sz w:val="24"/>
                <w:szCs w:val="24"/>
              </w:rPr>
              <w:t>76.5</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预期性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390" w:hRule="atLeast"/>
          <w:jc w:val="center"/>
        </w:trPr>
        <w:tc>
          <w:tcPr>
            <w:tcW w:w="8083" w:type="dxa"/>
            <w:gridSpan w:val="12"/>
            <w:vAlign w:val="center"/>
          </w:tcPr>
          <w:p>
            <w:pPr>
              <w:spacing w:line="400" w:lineRule="exact"/>
              <w:rPr>
                <w:b/>
                <w:bCs/>
                <w:color w:val="000000"/>
                <w:kern w:val="0"/>
                <w:sz w:val="24"/>
                <w:szCs w:val="24"/>
              </w:rPr>
            </w:pPr>
            <w:r>
              <w:rPr>
                <w:rFonts w:hint="eastAsia"/>
                <w:b/>
                <w:bCs/>
                <w:color w:val="000000"/>
                <w:kern w:val="0"/>
                <w:sz w:val="24"/>
                <w:szCs w:val="24"/>
              </w:rPr>
              <w:t>四、资源环境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372" w:hRule="atLeas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18</w:t>
            </w:r>
            <w:r>
              <w:rPr>
                <w:rFonts w:hint="eastAsia"/>
                <w:color w:val="000000"/>
                <w:kern w:val="0"/>
                <w:sz w:val="24"/>
                <w:szCs w:val="24"/>
              </w:rPr>
              <w:t>、耕地保有量（万亩）</w:t>
            </w:r>
          </w:p>
        </w:tc>
        <w:tc>
          <w:tcPr>
            <w:tcW w:w="1214" w:type="dxa"/>
            <w:gridSpan w:val="2"/>
            <w:vAlign w:val="center"/>
          </w:tcPr>
          <w:p>
            <w:pPr>
              <w:spacing w:line="400" w:lineRule="exact"/>
              <w:jc w:val="center"/>
              <w:rPr>
                <w:color w:val="000000"/>
                <w:kern w:val="0"/>
                <w:sz w:val="24"/>
                <w:szCs w:val="24"/>
              </w:rPr>
            </w:pPr>
            <w:r>
              <w:rPr>
                <w:color w:val="000000"/>
                <w:kern w:val="0"/>
                <w:sz w:val="24"/>
                <w:szCs w:val="24"/>
              </w:rPr>
              <w:t>56.89</w:t>
            </w:r>
          </w:p>
        </w:tc>
        <w:tc>
          <w:tcPr>
            <w:tcW w:w="973" w:type="dxa"/>
            <w:vAlign w:val="center"/>
          </w:tcPr>
          <w:p>
            <w:pPr>
              <w:spacing w:line="400" w:lineRule="exact"/>
              <w:jc w:val="center"/>
              <w:rPr>
                <w:color w:val="000000"/>
                <w:kern w:val="0"/>
                <w:sz w:val="24"/>
                <w:szCs w:val="24"/>
              </w:rPr>
            </w:pPr>
            <w:r>
              <w:rPr>
                <w:color w:val="000000"/>
                <w:kern w:val="0"/>
                <w:sz w:val="24"/>
                <w:szCs w:val="24"/>
              </w:rPr>
              <w:t>56.89</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530" w:hRule="atLeast"/>
          <w:jc w:val="center"/>
        </w:trPr>
        <w:tc>
          <w:tcPr>
            <w:tcW w:w="3110" w:type="dxa"/>
            <w:gridSpan w:val="3"/>
            <w:vAlign w:val="center"/>
          </w:tcPr>
          <w:p>
            <w:pPr>
              <w:spacing w:line="400" w:lineRule="exact"/>
              <w:jc w:val="left"/>
              <w:rPr>
                <w:color w:val="000000"/>
                <w:kern w:val="0"/>
                <w:sz w:val="24"/>
                <w:szCs w:val="24"/>
              </w:rPr>
            </w:pPr>
            <w:r>
              <w:rPr>
                <w:color w:val="000000"/>
                <w:spacing w:val="-16"/>
                <w:kern w:val="0"/>
                <w:sz w:val="24"/>
                <w:szCs w:val="24"/>
              </w:rPr>
              <w:t>19</w:t>
            </w:r>
            <w:r>
              <w:rPr>
                <w:rFonts w:hint="eastAsia"/>
                <w:color w:val="000000"/>
                <w:spacing w:val="-16"/>
                <w:kern w:val="0"/>
                <w:sz w:val="24"/>
                <w:szCs w:val="24"/>
              </w:rPr>
              <w:t>、新增建设用地规模（万亩）</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520" w:hRule="atLeast"/>
          <w:jc w:val="center"/>
        </w:trPr>
        <w:tc>
          <w:tcPr>
            <w:tcW w:w="3110" w:type="dxa"/>
            <w:gridSpan w:val="3"/>
            <w:vAlign w:val="center"/>
          </w:tcPr>
          <w:p>
            <w:pPr>
              <w:spacing w:line="400" w:lineRule="exact"/>
              <w:jc w:val="left"/>
              <w:rPr>
                <w:color w:val="000000"/>
                <w:spacing w:val="-20"/>
                <w:kern w:val="0"/>
                <w:sz w:val="24"/>
                <w:szCs w:val="24"/>
              </w:rPr>
            </w:pPr>
            <w:r>
              <w:rPr>
                <w:color w:val="000000"/>
                <w:spacing w:val="-20"/>
                <w:kern w:val="0"/>
                <w:sz w:val="24"/>
                <w:szCs w:val="24"/>
              </w:rPr>
              <w:t>20</w:t>
            </w:r>
            <w:r>
              <w:rPr>
                <w:rFonts w:hint="eastAsia"/>
                <w:color w:val="000000"/>
                <w:spacing w:val="-20"/>
                <w:kern w:val="0"/>
                <w:sz w:val="24"/>
                <w:szCs w:val="24"/>
              </w:rPr>
              <w:t>、万元生产总值用水量下降（</w:t>
            </w:r>
            <w:r>
              <w:rPr>
                <w:color w:val="000000"/>
                <w:spacing w:val="-20"/>
                <w:kern w:val="0"/>
                <w:sz w:val="24"/>
                <w:szCs w:val="24"/>
              </w:rPr>
              <w:t>%</w:t>
            </w:r>
            <w:r>
              <w:rPr>
                <w:rFonts w:hint="eastAsia"/>
                <w:color w:val="000000"/>
                <w:spacing w:val="-20"/>
                <w:kern w:val="0"/>
                <w:sz w:val="24"/>
                <w:szCs w:val="24"/>
              </w:rPr>
              <w:t>）</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Align w:val="center"/>
          </w:tcPr>
          <w:p>
            <w:pPr>
              <w:spacing w:line="400" w:lineRule="exact"/>
              <w:jc w:val="center"/>
              <w:rPr>
                <w:color w:val="000000"/>
                <w:kern w:val="0"/>
                <w:sz w:val="24"/>
                <w:szCs w:val="24"/>
              </w:rPr>
            </w:pPr>
            <w:r>
              <w:rPr>
                <w:color w:val="000000"/>
                <w:kern w:val="0"/>
                <w:sz w:val="24"/>
                <w:szCs w:val="24"/>
              </w:rPr>
              <w:t>[20]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1249"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21</w:t>
            </w:r>
            <w:r>
              <w:rPr>
                <w:rFonts w:hint="eastAsia"/>
                <w:color w:val="000000"/>
                <w:kern w:val="0"/>
                <w:sz w:val="24"/>
                <w:szCs w:val="24"/>
              </w:rPr>
              <w:t>、非化石能源占一次能源消费比重（</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FF"/>
                <w:kern w:val="0"/>
                <w:sz w:val="24"/>
                <w:szCs w:val="24"/>
              </w:rPr>
            </w:pPr>
            <w:r>
              <w:rPr>
                <w:color w:val="0000FF"/>
                <w:kern w:val="0"/>
                <w:sz w:val="24"/>
                <w:szCs w:val="24"/>
              </w:rPr>
              <w:t>-</w:t>
            </w:r>
          </w:p>
        </w:tc>
        <w:tc>
          <w:tcPr>
            <w:tcW w:w="973" w:type="dxa"/>
            <w:vAlign w:val="center"/>
          </w:tcPr>
          <w:p>
            <w:pPr>
              <w:spacing w:line="400" w:lineRule="exact"/>
              <w:jc w:val="center"/>
              <w:rPr>
                <w:color w:val="0000FF"/>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1189"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22</w:t>
            </w:r>
            <w:r>
              <w:rPr>
                <w:rFonts w:hint="eastAsia"/>
                <w:color w:val="000000"/>
                <w:kern w:val="0"/>
                <w:sz w:val="24"/>
                <w:szCs w:val="24"/>
              </w:rPr>
              <w:t>、单位生产总值能源消耗降低（</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rPr>
                <w:color w:val="000000"/>
                <w:kern w:val="0"/>
                <w:sz w:val="24"/>
                <w:szCs w:val="24"/>
              </w:rPr>
            </w:pPr>
            <w:r>
              <w:rPr>
                <w:color w:val="000000"/>
                <w:kern w:val="0"/>
                <w:sz w:val="24"/>
                <w:szCs w:val="24"/>
              </w:rPr>
              <w:t>[17.65]</w:t>
            </w:r>
          </w:p>
        </w:tc>
        <w:tc>
          <w:tcPr>
            <w:tcW w:w="973" w:type="dxa"/>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1246"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23</w:t>
            </w:r>
            <w:r>
              <w:rPr>
                <w:rFonts w:hint="eastAsia"/>
                <w:color w:val="000000"/>
                <w:spacing w:val="-24"/>
                <w:kern w:val="0"/>
                <w:sz w:val="24"/>
                <w:szCs w:val="24"/>
              </w:rPr>
              <w:t>、单位生产总值二氧化碳排放降低（</w:t>
            </w:r>
            <w:r>
              <w:rPr>
                <w:color w:val="000000"/>
                <w:spacing w:val="-24"/>
                <w:kern w:val="0"/>
                <w:sz w:val="24"/>
                <w:szCs w:val="24"/>
              </w:rPr>
              <w:t>%</w:t>
            </w:r>
            <w:r>
              <w:rPr>
                <w:rFonts w:hint="eastAsia"/>
                <w:color w:val="000000"/>
                <w:spacing w:val="-24"/>
                <w:kern w:val="0"/>
                <w:sz w:val="24"/>
                <w:szCs w:val="24"/>
              </w:rPr>
              <w:t>）</w:t>
            </w:r>
          </w:p>
        </w:tc>
        <w:tc>
          <w:tcPr>
            <w:tcW w:w="1214" w:type="dxa"/>
            <w:gridSpan w:val="2"/>
            <w:vAlign w:val="center"/>
          </w:tcPr>
          <w:p>
            <w:pPr>
              <w:spacing w:line="400" w:lineRule="exact"/>
              <w:jc w:val="center"/>
              <w:rPr>
                <w:color w:val="000000"/>
                <w:kern w:val="0"/>
                <w:sz w:val="24"/>
                <w:szCs w:val="24"/>
              </w:rPr>
            </w:pPr>
            <w:r>
              <w:rPr>
                <w:color w:val="000000"/>
                <w:kern w:val="0"/>
                <w:sz w:val="24"/>
                <w:szCs w:val="24"/>
              </w:rPr>
              <w:t>[20]</w:t>
            </w:r>
          </w:p>
        </w:tc>
        <w:tc>
          <w:tcPr>
            <w:tcW w:w="973" w:type="dxa"/>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658" w:hRule="exact"/>
          <w:jc w:val="center"/>
        </w:trPr>
        <w:tc>
          <w:tcPr>
            <w:tcW w:w="3110" w:type="dxa"/>
            <w:gridSpan w:val="3"/>
            <w:vAlign w:val="center"/>
          </w:tcPr>
          <w:p>
            <w:pPr>
              <w:spacing w:line="400" w:lineRule="exact"/>
              <w:jc w:val="left"/>
              <w:rPr>
                <w:color w:val="000000"/>
                <w:kern w:val="0"/>
                <w:sz w:val="24"/>
                <w:szCs w:val="24"/>
              </w:rPr>
            </w:pPr>
            <w:r>
              <w:rPr>
                <w:color w:val="000000"/>
                <w:kern w:val="0"/>
                <w:sz w:val="24"/>
                <w:szCs w:val="24"/>
              </w:rPr>
              <w:t>24</w:t>
            </w:r>
            <w:r>
              <w:rPr>
                <w:rFonts w:hint="eastAsia"/>
                <w:color w:val="000000"/>
                <w:kern w:val="0"/>
                <w:sz w:val="24"/>
                <w:szCs w:val="24"/>
              </w:rPr>
              <w:t>、林地保有量（平方公里）</w:t>
            </w:r>
          </w:p>
        </w:tc>
        <w:tc>
          <w:tcPr>
            <w:tcW w:w="1214" w:type="dxa"/>
            <w:gridSpan w:val="2"/>
            <w:vAlign w:val="center"/>
          </w:tcPr>
          <w:p>
            <w:pPr>
              <w:spacing w:line="400" w:lineRule="exact"/>
              <w:jc w:val="center"/>
              <w:rPr>
                <w:color w:val="000000"/>
                <w:kern w:val="0"/>
                <w:sz w:val="24"/>
                <w:szCs w:val="24"/>
              </w:rPr>
            </w:pPr>
          </w:p>
        </w:tc>
        <w:tc>
          <w:tcPr>
            <w:tcW w:w="973" w:type="dxa"/>
            <w:vAlign w:val="center"/>
          </w:tcPr>
          <w:p>
            <w:pPr>
              <w:spacing w:line="400" w:lineRule="exact"/>
              <w:jc w:val="center"/>
              <w:rPr>
                <w:color w:val="000000"/>
                <w:kern w:val="0"/>
                <w:sz w:val="24"/>
                <w:szCs w:val="24"/>
              </w:rPr>
            </w:pPr>
            <w:r>
              <w:rPr>
                <w:color w:val="000000"/>
                <w:kern w:val="0"/>
                <w:sz w:val="24"/>
                <w:szCs w:val="24"/>
              </w:rPr>
              <w:t>5853</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信阳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1397" w:hRule="exact"/>
          <w:jc w:val="center"/>
        </w:trPr>
        <w:tc>
          <w:tcPr>
            <w:tcW w:w="911" w:type="dxa"/>
            <w:vMerge w:val="restart"/>
            <w:vAlign w:val="center"/>
          </w:tcPr>
          <w:p>
            <w:pPr>
              <w:spacing w:line="400" w:lineRule="exact"/>
              <w:jc w:val="left"/>
              <w:rPr>
                <w:color w:val="000000"/>
                <w:kern w:val="0"/>
                <w:sz w:val="24"/>
                <w:szCs w:val="24"/>
              </w:rPr>
            </w:pPr>
            <w:r>
              <w:rPr>
                <w:color w:val="000000"/>
                <w:kern w:val="0"/>
                <w:sz w:val="24"/>
                <w:szCs w:val="24"/>
              </w:rPr>
              <w:t>25</w:t>
            </w:r>
            <w:r>
              <w:rPr>
                <w:rFonts w:hint="eastAsia"/>
                <w:color w:val="000000"/>
                <w:kern w:val="0"/>
                <w:sz w:val="24"/>
                <w:szCs w:val="24"/>
              </w:rPr>
              <w:t>、森林增长</w:t>
            </w:r>
          </w:p>
        </w:tc>
        <w:tc>
          <w:tcPr>
            <w:tcW w:w="2199" w:type="dxa"/>
            <w:gridSpan w:val="2"/>
            <w:vAlign w:val="center"/>
          </w:tcPr>
          <w:p>
            <w:pPr>
              <w:spacing w:line="400" w:lineRule="exact"/>
              <w:jc w:val="left"/>
              <w:rPr>
                <w:color w:val="000000"/>
                <w:kern w:val="0"/>
                <w:sz w:val="24"/>
                <w:szCs w:val="24"/>
              </w:rPr>
            </w:pPr>
            <w:r>
              <w:rPr>
                <w:rFonts w:hint="eastAsia"/>
                <w:color w:val="000000"/>
                <w:kern w:val="0"/>
                <w:sz w:val="24"/>
                <w:szCs w:val="24"/>
              </w:rPr>
              <w:t>森林覆盖率（</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r>
              <w:rPr>
                <w:color w:val="000000"/>
                <w:kern w:val="0"/>
                <w:sz w:val="24"/>
                <w:szCs w:val="24"/>
              </w:rPr>
              <w:t>36.1</w:t>
            </w:r>
          </w:p>
        </w:tc>
        <w:tc>
          <w:tcPr>
            <w:tcW w:w="973" w:type="dxa"/>
            <w:vAlign w:val="center"/>
          </w:tcPr>
          <w:p>
            <w:pPr>
              <w:spacing w:line="400" w:lineRule="exact"/>
              <w:jc w:val="center"/>
              <w:rPr>
                <w:color w:val="000000"/>
                <w:kern w:val="0"/>
                <w:sz w:val="24"/>
                <w:szCs w:val="24"/>
              </w:rPr>
            </w:pPr>
            <w:r>
              <w:rPr>
                <w:color w:val="000000"/>
                <w:kern w:val="0"/>
                <w:sz w:val="24"/>
                <w:szCs w:val="24"/>
              </w:rPr>
              <w:t>38.0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907" w:hRule="exact"/>
          <w:jc w:val="center"/>
        </w:trPr>
        <w:tc>
          <w:tcPr>
            <w:tcW w:w="911" w:type="dxa"/>
            <w:vMerge w:val="continue"/>
            <w:vAlign w:val="center"/>
          </w:tcPr>
          <w:p>
            <w:pPr>
              <w:spacing w:line="400" w:lineRule="exact"/>
              <w:jc w:val="left"/>
              <w:rPr>
                <w:color w:val="000000"/>
                <w:kern w:val="0"/>
                <w:sz w:val="24"/>
                <w:szCs w:val="24"/>
              </w:rPr>
            </w:pPr>
          </w:p>
        </w:tc>
        <w:tc>
          <w:tcPr>
            <w:tcW w:w="2199" w:type="dxa"/>
            <w:gridSpan w:val="2"/>
            <w:vAlign w:val="center"/>
          </w:tcPr>
          <w:p>
            <w:pPr>
              <w:spacing w:line="400" w:lineRule="exact"/>
              <w:jc w:val="left"/>
              <w:rPr>
                <w:color w:val="000000"/>
                <w:kern w:val="0"/>
                <w:sz w:val="24"/>
                <w:szCs w:val="24"/>
              </w:rPr>
            </w:pPr>
            <w:r>
              <w:rPr>
                <w:rFonts w:hint="eastAsia"/>
                <w:color w:val="000000"/>
                <w:kern w:val="0"/>
                <w:sz w:val="24"/>
                <w:szCs w:val="24"/>
              </w:rPr>
              <w:t>森林蓄积量（亿立方米）</w:t>
            </w:r>
          </w:p>
        </w:tc>
        <w:tc>
          <w:tcPr>
            <w:tcW w:w="1214" w:type="dxa"/>
            <w:gridSpan w:val="2"/>
            <w:vAlign w:val="center"/>
          </w:tcPr>
          <w:p>
            <w:pPr>
              <w:spacing w:line="400" w:lineRule="exact"/>
              <w:jc w:val="center"/>
              <w:rPr>
                <w:color w:val="000000"/>
                <w:kern w:val="0"/>
                <w:sz w:val="24"/>
                <w:szCs w:val="24"/>
              </w:rPr>
            </w:pPr>
            <w:r>
              <w:rPr>
                <w:color w:val="000000"/>
                <w:kern w:val="0"/>
                <w:sz w:val="24"/>
                <w:szCs w:val="24"/>
              </w:rPr>
              <w:t>0.31</w:t>
            </w:r>
          </w:p>
        </w:tc>
        <w:tc>
          <w:tcPr>
            <w:tcW w:w="973" w:type="dxa"/>
            <w:vAlign w:val="center"/>
          </w:tcPr>
          <w:p>
            <w:pPr>
              <w:spacing w:line="400" w:lineRule="exact"/>
              <w:jc w:val="center"/>
              <w:rPr>
                <w:color w:val="000000"/>
                <w:kern w:val="0"/>
                <w:sz w:val="24"/>
                <w:szCs w:val="24"/>
              </w:rPr>
            </w:pPr>
            <w:r>
              <w:rPr>
                <w:color w:val="000000"/>
                <w:kern w:val="0"/>
                <w:sz w:val="24"/>
                <w:szCs w:val="24"/>
              </w:rPr>
              <w:t>0.36</w:t>
            </w:r>
          </w:p>
        </w:tc>
        <w:tc>
          <w:tcPr>
            <w:tcW w:w="1009" w:type="dxa"/>
            <w:gridSpan w:val="2"/>
            <w:vAlign w:val="center"/>
          </w:tcPr>
          <w:p>
            <w:pPr>
              <w:spacing w:line="400" w:lineRule="exact"/>
              <w:jc w:val="center"/>
              <w:rPr>
                <w:color w:val="000000"/>
                <w:kern w:val="0"/>
                <w:sz w:val="24"/>
                <w:szCs w:val="24"/>
              </w:rPr>
            </w:pPr>
            <w:r>
              <w:rPr>
                <w:color w:val="000000"/>
                <w:kern w:val="0"/>
                <w:sz w:val="24"/>
                <w:szCs w:val="24"/>
              </w:rPr>
              <w:t>3.0</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6" w:type="dxa"/>
          <w:cantSplit/>
          <w:trHeight w:val="690" w:hRule="atLeast"/>
          <w:jc w:val="center"/>
        </w:trPr>
        <w:tc>
          <w:tcPr>
            <w:tcW w:w="911" w:type="dxa"/>
            <w:vMerge w:val="restart"/>
            <w:vAlign w:val="center"/>
          </w:tcPr>
          <w:p>
            <w:pPr>
              <w:spacing w:line="400" w:lineRule="exact"/>
              <w:jc w:val="left"/>
              <w:rPr>
                <w:color w:val="000000"/>
                <w:kern w:val="0"/>
                <w:sz w:val="24"/>
                <w:szCs w:val="24"/>
              </w:rPr>
            </w:pPr>
            <w:r>
              <w:rPr>
                <w:color w:val="000000"/>
                <w:kern w:val="0"/>
                <w:sz w:val="24"/>
                <w:szCs w:val="24"/>
              </w:rPr>
              <w:t>26</w:t>
            </w:r>
            <w:r>
              <w:rPr>
                <w:rFonts w:hint="eastAsia"/>
                <w:color w:val="000000"/>
                <w:kern w:val="0"/>
                <w:sz w:val="24"/>
                <w:szCs w:val="24"/>
              </w:rPr>
              <w:t>、空气</w:t>
            </w:r>
            <w:r>
              <w:rPr>
                <w:color w:val="000000"/>
                <w:kern w:val="0"/>
                <w:sz w:val="24"/>
                <w:szCs w:val="24"/>
              </w:rPr>
              <w:t xml:space="preserve"> </w:t>
            </w:r>
            <w:r>
              <w:rPr>
                <w:rFonts w:hint="eastAsia"/>
                <w:color w:val="000000"/>
                <w:kern w:val="0"/>
                <w:sz w:val="24"/>
                <w:szCs w:val="24"/>
              </w:rPr>
              <w:t>质量</w:t>
            </w:r>
          </w:p>
        </w:tc>
        <w:tc>
          <w:tcPr>
            <w:tcW w:w="2199" w:type="dxa"/>
            <w:gridSpan w:val="2"/>
            <w:vAlign w:val="center"/>
          </w:tcPr>
          <w:p>
            <w:pPr>
              <w:spacing w:line="400" w:lineRule="exact"/>
              <w:jc w:val="left"/>
              <w:rPr>
                <w:color w:val="000000"/>
                <w:spacing w:val="-8"/>
                <w:kern w:val="0"/>
                <w:sz w:val="24"/>
                <w:szCs w:val="24"/>
              </w:rPr>
            </w:pPr>
            <w:r>
              <w:rPr>
                <w:rFonts w:hint="eastAsia"/>
                <w:color w:val="000000"/>
                <w:spacing w:val="-8"/>
                <w:kern w:val="0"/>
                <w:sz w:val="24"/>
                <w:szCs w:val="24"/>
              </w:rPr>
              <w:t>细颗粒物（</w:t>
            </w:r>
            <w:r>
              <w:rPr>
                <w:color w:val="000000"/>
                <w:spacing w:val="-8"/>
                <w:kern w:val="0"/>
                <w:sz w:val="24"/>
                <w:szCs w:val="24"/>
              </w:rPr>
              <w:t>PM2.5</w:t>
            </w:r>
            <w:r>
              <w:rPr>
                <w:rFonts w:hint="eastAsia"/>
                <w:color w:val="000000"/>
                <w:spacing w:val="-8"/>
                <w:kern w:val="0"/>
                <w:sz w:val="24"/>
                <w:szCs w:val="24"/>
              </w:rPr>
              <w:t>）浓度下降（</w:t>
            </w:r>
            <w:r>
              <w:rPr>
                <w:color w:val="000000"/>
                <w:spacing w:val="-8"/>
                <w:kern w:val="0"/>
                <w:sz w:val="24"/>
                <w:szCs w:val="24"/>
              </w:rPr>
              <w:t>%</w:t>
            </w:r>
            <w:r>
              <w:rPr>
                <w:rFonts w:hint="eastAsia"/>
                <w:color w:val="000000"/>
                <w:spacing w:val="-8"/>
                <w:kern w:val="0"/>
                <w:sz w:val="24"/>
                <w:szCs w:val="24"/>
              </w:rPr>
              <w:t>）</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Merge w:val="restart"/>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Merge w:val="restart"/>
            <w:tcBorders>
              <w:right w:val="single" w:color="auto" w:sz="8" w:space="0"/>
            </w:tcBorders>
            <w:vAlign w:val="center"/>
          </w:tcPr>
          <w:p>
            <w:pPr>
              <w:spacing w:line="400" w:lineRule="exact"/>
              <w:jc w:val="center"/>
              <w:rPr>
                <w:color w:val="000000"/>
                <w:kern w:val="0"/>
                <w:sz w:val="24"/>
                <w:szCs w:val="24"/>
              </w:rPr>
            </w:pPr>
            <w:r>
              <w:rPr>
                <w:rFonts w:hint="eastAsia"/>
                <w:color w:val="000000"/>
                <w:kern w:val="0"/>
                <w:sz w:val="24"/>
                <w:szCs w:val="24"/>
              </w:rPr>
              <w:t>国家</w:t>
            </w:r>
          </w:p>
        </w:tc>
        <w:tc>
          <w:tcPr>
            <w:tcW w:w="236" w:type="dxa"/>
            <w:gridSpan w:val="2"/>
            <w:vMerge w:val="restart"/>
            <w:tcBorders>
              <w:top w:val="nil"/>
              <w:left w:val="single" w:color="auto" w:sz="8" w:space="0"/>
              <w:bottom w:val="nil"/>
              <w:right w:val="nil"/>
            </w:tcBorders>
            <w:vAlign w:val="center"/>
          </w:tcPr>
          <w:p>
            <w:pPr>
              <w:spacing w:line="400" w:lineRule="exact"/>
              <w:jc w:val="center"/>
              <w:rPr>
                <w:rFonts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6" w:type="dxa"/>
          <w:cantSplit/>
          <w:trHeight w:val="273" w:hRule="atLeast"/>
          <w:jc w:val="center"/>
        </w:trPr>
        <w:tc>
          <w:tcPr>
            <w:tcW w:w="911" w:type="dxa"/>
            <w:vMerge w:val="continue"/>
            <w:vAlign w:val="center"/>
          </w:tcPr>
          <w:p>
            <w:pPr>
              <w:spacing w:line="400" w:lineRule="exact"/>
              <w:jc w:val="center"/>
              <w:rPr>
                <w:color w:val="000000"/>
                <w:kern w:val="0"/>
                <w:sz w:val="24"/>
                <w:szCs w:val="24"/>
              </w:rPr>
            </w:pPr>
          </w:p>
        </w:tc>
        <w:tc>
          <w:tcPr>
            <w:tcW w:w="2199" w:type="dxa"/>
            <w:gridSpan w:val="2"/>
            <w:vAlign w:val="center"/>
          </w:tcPr>
          <w:p>
            <w:pPr>
              <w:spacing w:line="400" w:lineRule="exact"/>
              <w:jc w:val="left"/>
              <w:rPr>
                <w:color w:val="000000"/>
                <w:kern w:val="0"/>
                <w:sz w:val="24"/>
                <w:szCs w:val="24"/>
              </w:rPr>
            </w:pPr>
            <w:r>
              <w:rPr>
                <w:rFonts w:hint="eastAsia"/>
                <w:color w:val="000000"/>
                <w:kern w:val="0"/>
                <w:sz w:val="24"/>
                <w:szCs w:val="24"/>
              </w:rPr>
              <w:t>空气质量优良天数比率（</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continue"/>
            <w:vAlign w:val="center"/>
          </w:tcPr>
          <w:p>
            <w:pPr>
              <w:spacing w:line="400" w:lineRule="exact"/>
              <w:jc w:val="center"/>
              <w:rPr>
                <w:color w:val="000000"/>
                <w:kern w:val="0"/>
                <w:sz w:val="24"/>
                <w:szCs w:val="24"/>
              </w:rPr>
            </w:pP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tcBorders>
              <w:right w:val="single" w:color="auto" w:sz="8" w:space="0"/>
            </w:tcBorders>
            <w:vAlign w:val="center"/>
          </w:tcPr>
          <w:p>
            <w:pPr>
              <w:spacing w:line="400" w:lineRule="exact"/>
              <w:jc w:val="center"/>
              <w:rPr>
                <w:color w:val="000000"/>
                <w:kern w:val="0"/>
                <w:sz w:val="24"/>
                <w:szCs w:val="24"/>
              </w:rPr>
            </w:pPr>
          </w:p>
        </w:tc>
        <w:tc>
          <w:tcPr>
            <w:tcW w:w="236" w:type="dxa"/>
            <w:gridSpan w:val="2"/>
            <w:vMerge w:val="continue"/>
            <w:tcBorders>
              <w:top w:val="nil"/>
              <w:left w:val="single" w:color="auto" w:sz="8" w:space="0"/>
              <w:bottom w:val="nil"/>
              <w:right w:val="nil"/>
            </w:tcBorders>
            <w:vAlign w:val="center"/>
          </w:tcPr>
          <w:p>
            <w:pPr>
              <w:spacing w:line="400" w:lineRule="exact"/>
              <w:jc w:val="center"/>
              <w:rPr>
                <w:rFonts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525" w:hRule="exact"/>
          <w:jc w:val="center"/>
        </w:trPr>
        <w:tc>
          <w:tcPr>
            <w:tcW w:w="911" w:type="dxa"/>
            <w:vMerge w:val="restart"/>
            <w:vAlign w:val="center"/>
          </w:tcPr>
          <w:p>
            <w:pPr>
              <w:spacing w:line="400" w:lineRule="exact"/>
              <w:rPr>
                <w:color w:val="000000"/>
                <w:kern w:val="0"/>
                <w:sz w:val="24"/>
                <w:szCs w:val="24"/>
              </w:rPr>
            </w:pPr>
            <w:r>
              <w:rPr>
                <w:color w:val="000000"/>
                <w:kern w:val="0"/>
                <w:sz w:val="24"/>
                <w:szCs w:val="24"/>
              </w:rPr>
              <w:t>27</w:t>
            </w:r>
            <w:r>
              <w:rPr>
                <w:rFonts w:hint="eastAsia"/>
                <w:color w:val="000000"/>
                <w:kern w:val="0"/>
                <w:sz w:val="24"/>
                <w:szCs w:val="24"/>
              </w:rPr>
              <w:t>、地表水质量</w:t>
            </w:r>
          </w:p>
        </w:tc>
        <w:tc>
          <w:tcPr>
            <w:tcW w:w="2199" w:type="dxa"/>
            <w:gridSpan w:val="2"/>
            <w:vAlign w:val="center"/>
          </w:tcPr>
          <w:p>
            <w:pPr>
              <w:spacing w:line="400" w:lineRule="exact"/>
              <w:jc w:val="left"/>
              <w:rPr>
                <w:color w:val="000000"/>
                <w:kern w:val="0"/>
                <w:sz w:val="24"/>
                <w:szCs w:val="24"/>
              </w:rPr>
            </w:pPr>
            <w:r>
              <w:rPr>
                <w:rFonts w:hint="eastAsia"/>
                <w:color w:val="000000"/>
                <w:kern w:val="0"/>
                <w:sz w:val="24"/>
                <w:szCs w:val="24"/>
              </w:rPr>
              <w:t>好于Ⅲ类水体比例（</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restart"/>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915" w:hRule="exact"/>
          <w:jc w:val="center"/>
        </w:trPr>
        <w:tc>
          <w:tcPr>
            <w:tcW w:w="911" w:type="dxa"/>
            <w:vMerge w:val="continue"/>
            <w:vAlign w:val="center"/>
          </w:tcPr>
          <w:p>
            <w:pPr>
              <w:spacing w:line="400" w:lineRule="exact"/>
              <w:jc w:val="left"/>
              <w:rPr>
                <w:color w:val="000000"/>
                <w:kern w:val="0"/>
                <w:sz w:val="24"/>
                <w:szCs w:val="24"/>
              </w:rPr>
            </w:pPr>
          </w:p>
        </w:tc>
        <w:tc>
          <w:tcPr>
            <w:tcW w:w="2199" w:type="dxa"/>
            <w:gridSpan w:val="2"/>
            <w:vAlign w:val="center"/>
          </w:tcPr>
          <w:p>
            <w:pPr>
              <w:spacing w:line="400" w:lineRule="exact"/>
              <w:jc w:val="left"/>
              <w:rPr>
                <w:color w:val="000000"/>
                <w:kern w:val="0"/>
                <w:sz w:val="24"/>
                <w:szCs w:val="24"/>
              </w:rPr>
            </w:pPr>
            <w:r>
              <w:rPr>
                <w:rFonts w:hint="eastAsia"/>
                <w:color w:val="000000"/>
                <w:kern w:val="0"/>
                <w:sz w:val="24"/>
                <w:szCs w:val="24"/>
              </w:rPr>
              <w:t>劣</w:t>
            </w:r>
            <w:r>
              <w:rPr>
                <w:color w:val="000000"/>
                <w:kern w:val="0"/>
                <w:sz w:val="24"/>
                <w:szCs w:val="24"/>
              </w:rPr>
              <w:t>V</w:t>
            </w:r>
            <w:r>
              <w:rPr>
                <w:rFonts w:hint="eastAsia"/>
                <w:color w:val="000000"/>
                <w:kern w:val="0"/>
                <w:sz w:val="24"/>
                <w:szCs w:val="24"/>
              </w:rPr>
              <w:t>类水体比例（</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continue"/>
            <w:vAlign w:val="center"/>
          </w:tcPr>
          <w:p>
            <w:pPr>
              <w:spacing w:line="400" w:lineRule="exact"/>
              <w:jc w:val="center"/>
              <w:rPr>
                <w:color w:val="000000"/>
                <w:kern w:val="0"/>
                <w:sz w:val="24"/>
                <w:szCs w:val="24"/>
              </w:rPr>
            </w:pP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425" w:hRule="exact"/>
          <w:jc w:val="center"/>
        </w:trPr>
        <w:tc>
          <w:tcPr>
            <w:tcW w:w="911" w:type="dxa"/>
            <w:vMerge w:val="restart"/>
            <w:vAlign w:val="center"/>
          </w:tcPr>
          <w:p>
            <w:pPr>
              <w:spacing w:line="400" w:lineRule="exact"/>
              <w:rPr>
                <w:color w:val="000000"/>
                <w:kern w:val="0"/>
                <w:sz w:val="24"/>
                <w:szCs w:val="24"/>
              </w:rPr>
            </w:pPr>
            <w:r>
              <w:rPr>
                <w:color w:val="000000"/>
                <w:kern w:val="0"/>
                <w:sz w:val="24"/>
                <w:szCs w:val="24"/>
              </w:rPr>
              <w:t>28</w:t>
            </w:r>
            <w:r>
              <w:rPr>
                <w:rFonts w:hint="eastAsia"/>
                <w:color w:val="000000"/>
                <w:kern w:val="0"/>
                <w:sz w:val="24"/>
                <w:szCs w:val="24"/>
              </w:rPr>
              <w:t>、主</w:t>
            </w:r>
          </w:p>
          <w:p>
            <w:pPr>
              <w:spacing w:line="400" w:lineRule="exact"/>
              <w:rPr>
                <w:color w:val="000000"/>
                <w:kern w:val="0"/>
                <w:sz w:val="24"/>
                <w:szCs w:val="24"/>
              </w:rPr>
            </w:pPr>
            <w:r>
              <w:rPr>
                <w:rFonts w:hint="eastAsia"/>
                <w:color w:val="000000"/>
                <w:kern w:val="0"/>
                <w:sz w:val="24"/>
                <w:szCs w:val="24"/>
              </w:rPr>
              <w:t>要污染物排</w:t>
            </w:r>
            <w:r>
              <w:rPr>
                <w:color w:val="000000"/>
                <w:kern w:val="0"/>
                <w:sz w:val="24"/>
                <w:szCs w:val="24"/>
              </w:rPr>
              <w:t xml:space="preserve"> </w:t>
            </w:r>
            <w:r>
              <w:rPr>
                <w:rFonts w:hint="eastAsia"/>
                <w:color w:val="000000"/>
                <w:kern w:val="0"/>
                <w:sz w:val="24"/>
                <w:szCs w:val="24"/>
              </w:rPr>
              <w:t>放</w:t>
            </w:r>
          </w:p>
          <w:p>
            <w:pPr>
              <w:spacing w:line="400" w:lineRule="exact"/>
              <w:rPr>
                <w:color w:val="000000"/>
                <w:kern w:val="0"/>
                <w:sz w:val="24"/>
                <w:szCs w:val="24"/>
              </w:rPr>
            </w:pPr>
            <w:r>
              <w:rPr>
                <w:rFonts w:hint="eastAsia"/>
                <w:color w:val="000000"/>
                <w:kern w:val="0"/>
                <w:sz w:val="24"/>
                <w:szCs w:val="24"/>
              </w:rPr>
              <w:t>减</w:t>
            </w:r>
            <w:r>
              <w:rPr>
                <w:color w:val="000000"/>
                <w:kern w:val="0"/>
                <w:sz w:val="24"/>
                <w:szCs w:val="24"/>
              </w:rPr>
              <w:t xml:space="preserve"> </w:t>
            </w:r>
            <w:r>
              <w:rPr>
                <w:rFonts w:hint="eastAsia"/>
                <w:color w:val="000000"/>
                <w:kern w:val="0"/>
                <w:sz w:val="24"/>
                <w:szCs w:val="24"/>
              </w:rPr>
              <w:t>少</w:t>
            </w:r>
          </w:p>
        </w:tc>
        <w:tc>
          <w:tcPr>
            <w:tcW w:w="2199" w:type="dxa"/>
            <w:gridSpan w:val="2"/>
            <w:vAlign w:val="center"/>
          </w:tcPr>
          <w:p>
            <w:pPr>
              <w:spacing w:line="400" w:lineRule="exact"/>
              <w:rPr>
                <w:color w:val="000000"/>
                <w:kern w:val="0"/>
                <w:sz w:val="24"/>
                <w:szCs w:val="24"/>
              </w:rPr>
            </w:pPr>
            <w:r>
              <w:rPr>
                <w:rFonts w:hint="eastAsia"/>
                <w:color w:val="000000"/>
                <w:kern w:val="0"/>
                <w:sz w:val="24"/>
                <w:szCs w:val="24"/>
              </w:rPr>
              <w:t>化学需氧量（</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restart"/>
            <w:vAlign w:val="center"/>
          </w:tcPr>
          <w:p>
            <w:pPr>
              <w:spacing w:line="400" w:lineRule="exact"/>
              <w:jc w:val="center"/>
              <w:rPr>
                <w:color w:val="000000"/>
                <w:kern w:val="0"/>
                <w:sz w:val="24"/>
                <w:szCs w:val="24"/>
              </w:rPr>
            </w:pPr>
            <w:r>
              <w:rPr>
                <w:rFonts w:hint="eastAsia"/>
                <w:color w:val="000000"/>
                <w:kern w:val="0"/>
                <w:sz w:val="24"/>
                <w:szCs w:val="24"/>
              </w:rPr>
              <w:t>完成省下达目标</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Merge w:val="restart"/>
            <w:vAlign w:val="center"/>
          </w:tcPr>
          <w:p>
            <w:pPr>
              <w:spacing w:line="400" w:lineRule="exact"/>
              <w:jc w:val="center"/>
              <w:rPr>
                <w:color w:val="000000"/>
                <w:kern w:val="0"/>
                <w:sz w:val="24"/>
                <w:szCs w:val="24"/>
              </w:rPr>
            </w:pPr>
            <w:r>
              <w:rPr>
                <w:rFonts w:hint="eastAsia"/>
                <w:color w:val="000000"/>
                <w:kern w:val="0"/>
                <w:sz w:val="24"/>
                <w:szCs w:val="24"/>
              </w:rPr>
              <w:t>国家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425" w:hRule="exact"/>
          <w:jc w:val="center"/>
        </w:trPr>
        <w:tc>
          <w:tcPr>
            <w:tcW w:w="911" w:type="dxa"/>
            <w:vMerge w:val="continue"/>
            <w:vAlign w:val="center"/>
          </w:tcPr>
          <w:p>
            <w:pPr>
              <w:spacing w:line="400" w:lineRule="exact"/>
              <w:jc w:val="left"/>
              <w:rPr>
                <w:color w:val="000000"/>
                <w:kern w:val="0"/>
                <w:sz w:val="24"/>
                <w:szCs w:val="24"/>
              </w:rPr>
            </w:pPr>
          </w:p>
        </w:tc>
        <w:tc>
          <w:tcPr>
            <w:tcW w:w="2199" w:type="dxa"/>
            <w:gridSpan w:val="2"/>
            <w:vAlign w:val="center"/>
          </w:tcPr>
          <w:p>
            <w:pPr>
              <w:spacing w:line="400" w:lineRule="exact"/>
              <w:rPr>
                <w:color w:val="000000"/>
                <w:kern w:val="0"/>
                <w:sz w:val="24"/>
                <w:szCs w:val="24"/>
              </w:rPr>
            </w:pPr>
            <w:r>
              <w:rPr>
                <w:rFonts w:hint="eastAsia"/>
                <w:color w:val="000000"/>
                <w:kern w:val="0"/>
                <w:sz w:val="24"/>
                <w:szCs w:val="24"/>
              </w:rPr>
              <w:t>二氧化硫（</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continue"/>
            <w:vAlign w:val="center"/>
          </w:tcPr>
          <w:p>
            <w:pPr>
              <w:spacing w:line="400" w:lineRule="exact"/>
              <w:jc w:val="center"/>
              <w:rPr>
                <w:color w:val="000000"/>
                <w:kern w:val="0"/>
                <w:sz w:val="24"/>
                <w:szCs w:val="24"/>
              </w:rPr>
            </w:pP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425" w:hRule="exact"/>
          <w:jc w:val="center"/>
        </w:trPr>
        <w:tc>
          <w:tcPr>
            <w:tcW w:w="911" w:type="dxa"/>
            <w:vMerge w:val="continue"/>
            <w:vAlign w:val="center"/>
          </w:tcPr>
          <w:p>
            <w:pPr>
              <w:spacing w:line="400" w:lineRule="exact"/>
              <w:jc w:val="left"/>
              <w:rPr>
                <w:color w:val="000000"/>
                <w:kern w:val="0"/>
                <w:sz w:val="24"/>
                <w:szCs w:val="24"/>
              </w:rPr>
            </w:pPr>
          </w:p>
        </w:tc>
        <w:tc>
          <w:tcPr>
            <w:tcW w:w="2199" w:type="dxa"/>
            <w:gridSpan w:val="2"/>
            <w:vAlign w:val="center"/>
          </w:tcPr>
          <w:p>
            <w:pPr>
              <w:spacing w:line="400" w:lineRule="exact"/>
              <w:rPr>
                <w:color w:val="000000"/>
                <w:kern w:val="0"/>
                <w:sz w:val="24"/>
                <w:szCs w:val="24"/>
              </w:rPr>
            </w:pPr>
            <w:r>
              <w:rPr>
                <w:rFonts w:hint="eastAsia"/>
                <w:color w:val="000000"/>
                <w:kern w:val="0"/>
                <w:sz w:val="24"/>
                <w:szCs w:val="24"/>
              </w:rPr>
              <w:t>氨氮（</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continue"/>
            <w:vAlign w:val="center"/>
          </w:tcPr>
          <w:p>
            <w:pPr>
              <w:spacing w:line="400" w:lineRule="exact"/>
              <w:jc w:val="center"/>
              <w:rPr>
                <w:color w:val="000000"/>
                <w:kern w:val="0"/>
                <w:sz w:val="24"/>
                <w:szCs w:val="24"/>
              </w:rPr>
            </w:pP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cantSplit/>
          <w:trHeight w:val="975" w:hRule="exact"/>
          <w:jc w:val="center"/>
        </w:trPr>
        <w:tc>
          <w:tcPr>
            <w:tcW w:w="911" w:type="dxa"/>
            <w:vMerge w:val="continue"/>
            <w:vAlign w:val="center"/>
          </w:tcPr>
          <w:p>
            <w:pPr>
              <w:spacing w:line="400" w:lineRule="exact"/>
              <w:jc w:val="left"/>
              <w:rPr>
                <w:color w:val="000000"/>
                <w:kern w:val="0"/>
                <w:sz w:val="24"/>
                <w:szCs w:val="24"/>
              </w:rPr>
            </w:pPr>
          </w:p>
        </w:tc>
        <w:tc>
          <w:tcPr>
            <w:tcW w:w="2199" w:type="dxa"/>
            <w:gridSpan w:val="2"/>
            <w:vAlign w:val="center"/>
          </w:tcPr>
          <w:p>
            <w:pPr>
              <w:spacing w:line="400" w:lineRule="exact"/>
              <w:rPr>
                <w:color w:val="000000"/>
                <w:kern w:val="0"/>
                <w:sz w:val="24"/>
                <w:szCs w:val="24"/>
              </w:rPr>
            </w:pPr>
            <w:r>
              <w:rPr>
                <w:rFonts w:hint="eastAsia"/>
                <w:color w:val="000000"/>
                <w:kern w:val="0"/>
                <w:sz w:val="24"/>
                <w:szCs w:val="24"/>
              </w:rPr>
              <w:t>氮氧化物（</w:t>
            </w:r>
            <w:r>
              <w:rPr>
                <w:color w:val="000000"/>
                <w:kern w:val="0"/>
                <w:sz w:val="24"/>
                <w:szCs w:val="24"/>
              </w:rPr>
              <w:t>%</w:t>
            </w:r>
            <w:r>
              <w:rPr>
                <w:rFonts w:hint="eastAsia"/>
                <w:color w:val="000000"/>
                <w:kern w:val="0"/>
                <w:sz w:val="24"/>
                <w:szCs w:val="24"/>
              </w:rPr>
              <w:t>）</w:t>
            </w:r>
          </w:p>
        </w:tc>
        <w:tc>
          <w:tcPr>
            <w:tcW w:w="1214" w:type="dxa"/>
            <w:gridSpan w:val="2"/>
            <w:vAlign w:val="center"/>
          </w:tcPr>
          <w:p>
            <w:pPr>
              <w:spacing w:line="400" w:lineRule="exact"/>
              <w:jc w:val="center"/>
              <w:rPr>
                <w:color w:val="000000"/>
                <w:kern w:val="0"/>
                <w:sz w:val="24"/>
                <w:szCs w:val="24"/>
              </w:rPr>
            </w:pPr>
          </w:p>
        </w:tc>
        <w:tc>
          <w:tcPr>
            <w:tcW w:w="973" w:type="dxa"/>
            <w:vMerge w:val="continue"/>
            <w:vAlign w:val="center"/>
          </w:tcPr>
          <w:p>
            <w:pPr>
              <w:spacing w:line="400" w:lineRule="exact"/>
              <w:jc w:val="center"/>
              <w:rPr>
                <w:color w:val="000000"/>
                <w:kern w:val="0"/>
                <w:sz w:val="24"/>
                <w:szCs w:val="24"/>
              </w:rPr>
            </w:pP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Merge w:val="continue"/>
            <w:vAlign w:val="center"/>
          </w:tcPr>
          <w:p>
            <w:pPr>
              <w:spacing w:line="400" w:lineRule="exact"/>
              <w:jc w:val="center"/>
              <w:rPr>
                <w:color w:val="000000"/>
                <w:kern w:val="0"/>
                <w:sz w:val="24"/>
                <w:szCs w:val="24"/>
              </w:rPr>
            </w:pPr>
          </w:p>
        </w:tc>
        <w:tc>
          <w:tcPr>
            <w:tcW w:w="816" w:type="dxa"/>
            <w:gridSpan w:val="2"/>
            <w:vMerge w:val="continue"/>
            <w:vAlign w:val="center"/>
          </w:tcPr>
          <w:p>
            <w:pPr>
              <w:spacing w:line="400" w:lineRule="exact"/>
              <w:jc w:val="center"/>
              <w:rPr>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905" w:hRule="exact"/>
          <w:jc w:val="center"/>
        </w:trPr>
        <w:tc>
          <w:tcPr>
            <w:tcW w:w="3110" w:type="dxa"/>
            <w:gridSpan w:val="3"/>
            <w:vAlign w:val="center"/>
          </w:tcPr>
          <w:p>
            <w:pPr>
              <w:spacing w:line="400" w:lineRule="exact"/>
              <w:rPr>
                <w:color w:val="000000"/>
                <w:kern w:val="0"/>
                <w:sz w:val="24"/>
                <w:szCs w:val="24"/>
              </w:rPr>
            </w:pPr>
            <w:r>
              <w:rPr>
                <w:color w:val="000000"/>
                <w:kern w:val="0"/>
                <w:sz w:val="24"/>
                <w:szCs w:val="24"/>
              </w:rPr>
              <w:t>29</w:t>
            </w:r>
            <w:r>
              <w:rPr>
                <w:rFonts w:hint="eastAsia"/>
                <w:color w:val="000000"/>
                <w:kern w:val="0"/>
                <w:sz w:val="24"/>
                <w:szCs w:val="24"/>
              </w:rPr>
              <w:t>、累计治理水土流失面积（平方公里）</w:t>
            </w:r>
          </w:p>
        </w:tc>
        <w:tc>
          <w:tcPr>
            <w:tcW w:w="1214" w:type="dxa"/>
            <w:gridSpan w:val="2"/>
            <w:vAlign w:val="center"/>
          </w:tcPr>
          <w:p>
            <w:pPr>
              <w:spacing w:line="400" w:lineRule="exact"/>
              <w:jc w:val="center"/>
              <w:rPr>
                <w:color w:val="000000"/>
                <w:kern w:val="0"/>
                <w:sz w:val="24"/>
                <w:szCs w:val="24"/>
              </w:rPr>
            </w:pPr>
            <w:r>
              <w:rPr>
                <w:color w:val="000000"/>
                <w:kern w:val="0"/>
                <w:sz w:val="24"/>
                <w:szCs w:val="24"/>
              </w:rPr>
              <w:t>-</w:t>
            </w:r>
          </w:p>
        </w:tc>
        <w:tc>
          <w:tcPr>
            <w:tcW w:w="973" w:type="dxa"/>
            <w:vAlign w:val="center"/>
          </w:tcPr>
          <w:p>
            <w:pPr>
              <w:spacing w:line="400" w:lineRule="exact"/>
              <w:jc w:val="center"/>
              <w:rPr>
                <w:color w:val="000000"/>
                <w:kern w:val="0"/>
                <w:sz w:val="24"/>
                <w:szCs w:val="24"/>
              </w:rPr>
            </w:pPr>
            <w:r>
              <w:rPr>
                <w:color w:val="000000"/>
                <w:kern w:val="0"/>
                <w:sz w:val="24"/>
                <w:szCs w:val="24"/>
              </w:rPr>
              <w:t>[600]</w:t>
            </w:r>
          </w:p>
        </w:tc>
        <w:tc>
          <w:tcPr>
            <w:tcW w:w="1009" w:type="dxa"/>
            <w:gridSpan w:val="2"/>
            <w:vAlign w:val="center"/>
          </w:tcPr>
          <w:p>
            <w:pPr>
              <w:spacing w:line="400" w:lineRule="exact"/>
              <w:jc w:val="center"/>
              <w:rPr>
                <w:color w:val="000000"/>
                <w:kern w:val="0"/>
                <w:sz w:val="24"/>
                <w:szCs w:val="24"/>
              </w:rPr>
            </w:pPr>
            <w:r>
              <w:rPr>
                <w:color w:val="000000"/>
                <w:kern w:val="0"/>
                <w:sz w:val="24"/>
                <w:szCs w:val="24"/>
              </w:rPr>
              <w:t>-</w:t>
            </w:r>
          </w:p>
        </w:tc>
        <w:tc>
          <w:tcPr>
            <w:tcW w:w="961" w:type="dxa"/>
            <w:gridSpan w:val="2"/>
            <w:vAlign w:val="center"/>
          </w:tcPr>
          <w:p>
            <w:pPr>
              <w:spacing w:line="400" w:lineRule="exact"/>
              <w:jc w:val="center"/>
              <w:rPr>
                <w:color w:val="000000"/>
                <w:kern w:val="0"/>
                <w:sz w:val="24"/>
                <w:szCs w:val="24"/>
              </w:rPr>
            </w:pPr>
            <w:r>
              <w:rPr>
                <w:rFonts w:hint="eastAsia"/>
                <w:color w:val="000000"/>
                <w:kern w:val="0"/>
                <w:sz w:val="24"/>
                <w:szCs w:val="24"/>
              </w:rPr>
              <w:t>约束性</w:t>
            </w:r>
          </w:p>
        </w:tc>
        <w:tc>
          <w:tcPr>
            <w:tcW w:w="816" w:type="dxa"/>
            <w:gridSpan w:val="2"/>
            <w:vAlign w:val="center"/>
          </w:tcPr>
          <w:p>
            <w:pPr>
              <w:spacing w:line="400" w:lineRule="exact"/>
              <w:jc w:val="center"/>
              <w:rPr>
                <w:color w:val="000000"/>
                <w:kern w:val="0"/>
                <w:sz w:val="24"/>
                <w:szCs w:val="24"/>
              </w:rPr>
            </w:pPr>
            <w:r>
              <w:rPr>
                <w:rFonts w:hint="eastAsia"/>
                <w:color w:val="000000"/>
                <w:kern w:val="0"/>
                <w:sz w:val="24"/>
                <w:szCs w:val="24"/>
              </w:rPr>
              <w:t>信阳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gridAfter w:val="2"/>
          <w:wBefore w:w="6" w:type="dxa"/>
          <w:wAfter w:w="236" w:type="dxa"/>
          <w:trHeight w:val="202" w:hRule="atLeast"/>
          <w:jc w:val="center"/>
        </w:trPr>
        <w:tc>
          <w:tcPr>
            <w:tcW w:w="8083" w:type="dxa"/>
            <w:gridSpan w:val="12"/>
            <w:vAlign w:val="center"/>
          </w:tcPr>
          <w:p>
            <w:pPr>
              <w:spacing w:line="360" w:lineRule="exact"/>
              <w:rPr>
                <w:color w:val="FF0000"/>
                <w:sz w:val="24"/>
                <w:szCs w:val="24"/>
                <w:u w:val="single"/>
              </w:rPr>
            </w:pPr>
            <w:r>
              <w:rPr>
                <w:rFonts w:hint="eastAsia"/>
                <w:color w:val="000000"/>
                <w:kern w:val="0"/>
                <w:sz w:val="24"/>
                <w:szCs w:val="24"/>
              </w:rPr>
              <w:t>注：</w:t>
            </w:r>
            <w:r>
              <w:rPr>
                <w:color w:val="000000"/>
                <w:kern w:val="0"/>
                <w:sz w:val="24"/>
                <w:szCs w:val="24"/>
              </w:rPr>
              <w:t>1</w:t>
            </w:r>
            <w:r>
              <w:rPr>
                <w:rFonts w:hint="eastAsia"/>
                <w:color w:val="000000"/>
                <w:kern w:val="0"/>
                <w:sz w:val="24"/>
                <w:szCs w:val="24"/>
              </w:rPr>
              <w:t>、</w:t>
            </w:r>
            <w:r>
              <w:rPr>
                <w:rFonts w:hint="eastAsia"/>
                <w:color w:val="000000"/>
                <w:sz w:val="24"/>
                <w:szCs w:val="24"/>
              </w:rPr>
              <w:t>地区生产总值、全员劳动生产率、居民人均可支配收入的绝对数按</w:t>
            </w:r>
            <w:r>
              <w:rPr>
                <w:color w:val="000000"/>
                <w:sz w:val="24"/>
                <w:szCs w:val="24"/>
              </w:rPr>
              <w:t>2015</w:t>
            </w:r>
            <w:r>
              <w:rPr>
                <w:rFonts w:hint="eastAsia"/>
                <w:color w:val="000000"/>
                <w:sz w:val="24"/>
                <w:szCs w:val="24"/>
              </w:rPr>
              <w:t>年价格计算，</w:t>
            </w:r>
            <w:r>
              <w:rPr>
                <w:rFonts w:hint="eastAsia"/>
                <w:color w:val="000000"/>
                <w:kern w:val="0"/>
                <w:sz w:val="24"/>
                <w:szCs w:val="24"/>
              </w:rPr>
              <w:t>年均增速为扣除价格因素的实际增长速度；</w:t>
            </w:r>
          </w:p>
          <w:p>
            <w:pPr>
              <w:spacing w:line="360" w:lineRule="exact"/>
              <w:ind w:firstLine="472" w:firstLineChars="200"/>
              <w:rPr>
                <w:color w:val="000000"/>
                <w:kern w:val="0"/>
                <w:sz w:val="24"/>
                <w:szCs w:val="24"/>
              </w:rPr>
            </w:pPr>
            <w:r>
              <w:rPr>
                <w:color w:val="000000"/>
                <w:kern w:val="0"/>
                <w:sz w:val="24"/>
                <w:szCs w:val="24"/>
              </w:rPr>
              <w:t>2</w:t>
            </w:r>
            <w:r>
              <w:rPr>
                <w:rFonts w:hint="eastAsia"/>
                <w:color w:val="000000"/>
                <w:kern w:val="0"/>
                <w:sz w:val="24"/>
                <w:szCs w:val="24"/>
              </w:rPr>
              <w:t>、</w:t>
            </w:r>
            <w:r>
              <w:rPr>
                <w:color w:val="000000"/>
                <w:kern w:val="0"/>
                <w:sz w:val="24"/>
                <w:szCs w:val="24"/>
              </w:rPr>
              <w:t>2015</w:t>
            </w:r>
            <w:r>
              <w:rPr>
                <w:rFonts w:hint="eastAsia"/>
                <w:color w:val="000000"/>
                <w:kern w:val="0"/>
                <w:sz w:val="24"/>
                <w:szCs w:val="24"/>
              </w:rPr>
              <w:t>年完成情况为预计数，带</w:t>
            </w:r>
            <w:r>
              <w:rPr>
                <w:color w:val="000000"/>
                <w:kern w:val="0"/>
                <w:sz w:val="24"/>
                <w:szCs w:val="24"/>
              </w:rPr>
              <w:t>*</w:t>
            </w:r>
            <w:r>
              <w:rPr>
                <w:rFonts w:hint="eastAsia"/>
                <w:color w:val="000000"/>
                <w:kern w:val="0"/>
                <w:sz w:val="24"/>
                <w:szCs w:val="24"/>
              </w:rPr>
              <w:t>数据为河南省指标；</w:t>
            </w:r>
          </w:p>
          <w:p>
            <w:pPr>
              <w:spacing w:line="360" w:lineRule="exact"/>
              <w:ind w:firstLine="472" w:firstLineChars="200"/>
              <w:rPr>
                <w:color w:val="000000"/>
                <w:kern w:val="0"/>
                <w:sz w:val="24"/>
                <w:szCs w:val="24"/>
              </w:rPr>
            </w:pPr>
            <w:r>
              <w:rPr>
                <w:color w:val="000000"/>
                <w:kern w:val="0"/>
                <w:sz w:val="24"/>
                <w:szCs w:val="24"/>
              </w:rPr>
              <w:t>3</w:t>
            </w:r>
            <w:r>
              <w:rPr>
                <w:rFonts w:hint="eastAsia"/>
                <w:color w:val="000000"/>
                <w:kern w:val="0"/>
                <w:sz w:val="24"/>
                <w:szCs w:val="24"/>
              </w:rPr>
              <w:t>、</w:t>
            </w:r>
            <w:r>
              <w:rPr>
                <w:color w:val="000000"/>
                <w:kern w:val="0"/>
                <w:sz w:val="24"/>
                <w:szCs w:val="24"/>
              </w:rPr>
              <w:t>[  ]</w:t>
            </w:r>
            <w:r>
              <w:rPr>
                <w:rFonts w:hint="eastAsia"/>
                <w:color w:val="000000"/>
                <w:kern w:val="0"/>
                <w:sz w:val="24"/>
                <w:szCs w:val="24"/>
              </w:rPr>
              <w:t>内数据为五年规划期累计。</w:t>
            </w:r>
          </w:p>
        </w:tc>
      </w:tr>
    </w:tbl>
    <w:p>
      <w:pPr>
        <w:pStyle w:val="4"/>
        <w:spacing w:before="0" w:after="0" w:line="580" w:lineRule="exact"/>
        <w:jc w:val="center"/>
        <w:rPr>
          <w:rFonts w:eastAsia="方正仿宋_GBK"/>
        </w:rPr>
      </w:pPr>
      <w:bookmarkStart w:id="20" w:name="_Toc28160"/>
      <w:r>
        <w:rPr>
          <w:rFonts w:hint="eastAsia" w:eastAsia="方正仿宋_GBK"/>
        </w:rPr>
        <w:t>第三节</w:t>
      </w:r>
      <w:r>
        <w:rPr>
          <w:rFonts w:eastAsia="方正仿宋_GBK"/>
        </w:rPr>
        <w:t xml:space="preserve">  </w:t>
      </w:r>
      <w:r>
        <w:rPr>
          <w:rFonts w:hint="eastAsia" w:eastAsia="方正仿宋_GBK"/>
        </w:rPr>
        <w:t>战略导向</w:t>
      </w:r>
      <w:bookmarkEnd w:id="20"/>
    </w:p>
    <w:p>
      <w:pPr>
        <w:spacing w:line="580" w:lineRule="exact"/>
        <w:ind w:firstLine="632" w:firstLineChars="200"/>
        <w:rPr>
          <w:color w:val="000000"/>
        </w:rPr>
      </w:pPr>
      <w:bookmarkStart w:id="21" w:name="_Toc440730868"/>
      <w:bookmarkStart w:id="22" w:name="_Toc440292073"/>
      <w:bookmarkStart w:id="23" w:name="_Toc12790"/>
      <w:bookmarkStart w:id="24" w:name="_Toc435797091"/>
      <w:bookmarkStart w:id="25" w:name="_Toc424139944"/>
      <w:r>
        <w:rPr>
          <w:rFonts w:hint="eastAsia"/>
          <w:color w:val="000000"/>
        </w:rPr>
        <w:t>适应新常态、把握新常态、引领新常态，保持经济社会持续健康发展，实现全面建成小康社会目标，必须有新理念、新思路、新举措，更好地适应趋势、创造优势、提升位势、形成胜势。</w:t>
      </w:r>
    </w:p>
    <w:p>
      <w:pPr>
        <w:spacing w:line="580" w:lineRule="exact"/>
        <w:ind w:firstLine="634" w:firstLineChars="200"/>
      </w:pPr>
      <w:r>
        <w:rPr>
          <w:rFonts w:hint="eastAsia"/>
          <w:b/>
          <w:bCs/>
        </w:rPr>
        <w:t>贯彻新的发展理念。</w:t>
      </w:r>
      <w:r>
        <w:rPr>
          <w:rFonts w:hint="eastAsia"/>
        </w:rPr>
        <w:t>牢固树立和贯彻落实创新、协调、绿色、开放、共享五大发展理念，以发展理念转变引领发展方式转变，以发展方式转变推动发展质量和效益提升</w:t>
      </w:r>
      <w:r>
        <w:rPr>
          <w:rFonts w:hint="eastAsia"/>
          <w:color w:val="000000"/>
        </w:rPr>
        <w:t>。</w:t>
      </w:r>
      <w:r>
        <w:rPr>
          <w:rFonts w:hint="eastAsia"/>
        </w:rPr>
        <w:t>把发展的基点放在创新上，推进科技创新、制度创新、管理创新、文化创新等各方面创新，加快培育新的增长动力和竞争力，实现由要素驱动为主向创新驱动为主转变。把协调作为持续健康发展的内在要求，推进四化同步科学发展，促进城乡、区域、物质文明和精神文明协调发展，不断增强发展整体性和平衡性。把绿色作为永续发展的必要条件和人民对美好生活追求的重要体现，实施蓝天、碧水、乡村清洁、生态建设、环境保护等重点工程，构建大别山区域和淮河上游生态安全屏障。把开放作为繁荣发展的必由之路，积极承接产业转移、完善载体平台，打造交通、信息、物流三大枢纽。把共享作为中国特色社会主义的本质要求，大力实施脱贫攻坚工程，加强社会事业、民生保障等领域的薄弱环节建设，使全体人民在共建共享发展中有更多获得感。</w:t>
      </w:r>
    </w:p>
    <w:p>
      <w:pPr>
        <w:spacing w:line="580" w:lineRule="exact"/>
        <w:rPr>
          <w:b/>
          <w:bCs/>
        </w:rPr>
      </w:pPr>
      <w:r>
        <w:rPr>
          <w:b/>
          <w:bCs/>
        </w:rPr>
        <w:t xml:space="preserve">    </w:t>
      </w:r>
      <w:r>
        <w:rPr>
          <w:rFonts w:hint="eastAsia"/>
          <w:b/>
          <w:bCs/>
        </w:rPr>
        <w:t>厚植发展优势。</w:t>
      </w:r>
      <w:r>
        <w:rPr>
          <w:rFonts w:hint="eastAsia"/>
        </w:rPr>
        <w:t>突出实施工业强市主战略、生态持续提升战略和人力资源兴市战略。充分发挥前沿、生态和民智三大优势，挖掘潜在优势，培育比较优势，发挥先发优势，利用后发优势，提升整体优势，构建综合竞争力，以发展现代工业带动生态保护，以良好生态吸引高层次人才，以高层次人才引领经济发展，形成工业强、生态好、人才多、发展快的良好局面。</w:t>
      </w:r>
    </w:p>
    <w:p>
      <w:pPr>
        <w:spacing w:line="580" w:lineRule="exact"/>
        <w:ind w:firstLine="634" w:firstLineChars="200"/>
      </w:pPr>
      <w:r>
        <w:rPr>
          <w:rFonts w:hint="eastAsia"/>
          <w:b/>
          <w:bCs/>
        </w:rPr>
        <w:t>突出战略重点。</w:t>
      </w:r>
      <w:r>
        <w:rPr>
          <w:rFonts w:hint="eastAsia"/>
        </w:rPr>
        <w:t>着力解决制约经济社会持续健康发展的全局性、根本性、长远性问题，紧紧围绕国家和省委、省政府交给我们的任务，结合我市实际，大力推进“一市一区三枢纽”建设。</w:t>
      </w:r>
    </w:p>
    <w:p>
      <w:pPr>
        <w:spacing w:line="580" w:lineRule="exact"/>
        <w:ind w:firstLine="634" w:firstLineChars="200"/>
      </w:pPr>
      <w:r>
        <w:rPr>
          <w:b/>
          <w:bCs/>
        </w:rPr>
        <w:t>——</w:t>
      </w:r>
      <w:r>
        <w:rPr>
          <w:rFonts w:hint="eastAsia"/>
          <w:b/>
          <w:bCs/>
        </w:rPr>
        <w:t>着力推进构建“区域性中心城市”。</w:t>
      </w:r>
      <w:r>
        <w:rPr>
          <w:rFonts w:hint="eastAsia"/>
        </w:rPr>
        <w:t>把打造区域性中心城市作为促进城市发展的重要抓手，充分发挥区位优势，加快实施国家、省级发展战略，积极推动与周边区域产业结构、基础设施、生态保护、环境治理等协调联动，全面提升综合实力，形成具有辐射带动力的区域性中心城市。</w:t>
      </w:r>
    </w:p>
    <w:p>
      <w:pPr>
        <w:spacing w:line="580" w:lineRule="exact"/>
        <w:ind w:firstLine="634" w:firstLineChars="200"/>
      </w:pPr>
      <w:r>
        <w:rPr>
          <w:b/>
          <w:bCs/>
        </w:rPr>
        <w:t>——</w:t>
      </w:r>
      <w:r>
        <w:rPr>
          <w:rFonts w:hint="eastAsia"/>
          <w:b/>
          <w:bCs/>
        </w:rPr>
        <w:t>着力推进构建“充满发展活力的生态经济先行区”。</w:t>
      </w:r>
      <w:r>
        <w:rPr>
          <w:rFonts w:hint="eastAsia"/>
        </w:rPr>
        <w:t>坚定不移地完善科学发展载体，推动经济绿色循环低碳发展，走新型工业化道路。加快发展、有效保护生态环境，持续提升生态优势。落实国家主体功能区战略，开展国家主体功能区建设试点示范，建成全国人与自然和谐相处的示范区和推进生态文明建设先行区。以主体功能区规划引领各类空间规划“多规合一”，科学划分主体功能区域，构建科学合理的城市化格局、农业发展格局、生态安全格局，大力发展生态工业、生态服务业、生态农业，努力把我市打造成充满发展活力的生态经济先行区，实现经济发展与生态环境保护建设协调共进。</w:t>
      </w:r>
    </w:p>
    <w:p>
      <w:pPr>
        <w:spacing w:line="580" w:lineRule="exact"/>
        <w:ind w:firstLine="634" w:firstLineChars="200"/>
      </w:pPr>
      <w:r>
        <w:rPr>
          <w:b/>
          <w:bCs/>
        </w:rPr>
        <w:t>——</w:t>
      </w:r>
      <w:r>
        <w:rPr>
          <w:rFonts w:hint="eastAsia"/>
          <w:b/>
          <w:bCs/>
        </w:rPr>
        <w:t>着力推进构建“在全国有影响力的交通、信息和物流枢纽”。</w:t>
      </w:r>
      <w:r>
        <w:rPr>
          <w:rFonts w:hint="eastAsia"/>
        </w:rPr>
        <w:t>积极融入国家和省重大战略，发挥自身优势，加强合作，扩大开放，发挥两个十字综合交通功能，加强交通基础设施建设，构建综合交通枢纽；强化信息网络基础支撑，提高信息利用率，构建互联互通的信息枢纽；加强物流节点和物流信息基础设施建设，构建外引内联的物流枢纽，形成交通顺畅、信息快速、物流便捷的局面，推动客流、物流、资金流、信息流聚集辐射，增强加快发展的动力，为我市争取跨越发展、实现后来居上提供有力支撑。</w:t>
      </w:r>
    </w:p>
    <w:p>
      <w:pPr>
        <w:pStyle w:val="2"/>
        <w:spacing w:before="0" w:after="0" w:line="600" w:lineRule="exact"/>
        <w:jc w:val="center"/>
        <w:rPr>
          <w:rFonts w:eastAsia="仿宋_GB2312"/>
        </w:rPr>
      </w:pPr>
      <w:r>
        <w:br w:type="page"/>
      </w:r>
      <w:bookmarkStart w:id="26" w:name="_Toc14519"/>
      <w:r>
        <w:rPr>
          <w:rFonts w:hint="eastAsia"/>
        </w:rPr>
        <w:t>第二篇</w:t>
      </w:r>
      <w:r>
        <w:t xml:space="preserve">  </w:t>
      </w:r>
      <w:r>
        <w:rPr>
          <w:rFonts w:hint="eastAsia"/>
        </w:rPr>
        <w:t>积极推动创新发展</w:t>
      </w:r>
      <w:bookmarkEnd w:id="21"/>
      <w:bookmarkEnd w:id="22"/>
      <w:bookmarkEnd w:id="23"/>
      <w:bookmarkEnd w:id="26"/>
      <w:bookmarkStart w:id="27" w:name="_Toc433872647"/>
    </w:p>
    <w:p>
      <w:pPr>
        <w:spacing w:line="600" w:lineRule="exact"/>
        <w:ind w:firstLine="632" w:firstLineChars="200"/>
      </w:pPr>
      <w:r>
        <w:rPr>
          <w:rFonts w:hint="eastAsia"/>
          <w:color w:val="000000"/>
        </w:rPr>
        <w:t>坚持把创新作为引领发展的第一动力，摆在发展全局的核心位置，完善科学发展载体，</w:t>
      </w:r>
      <w:r>
        <w:rPr>
          <w:rFonts w:hint="eastAsia"/>
        </w:rPr>
        <w:t>拓展产业发展空间，释放市场化改革和人力资本红利，全面激发全社会创新活力和创造潜能，加快实现发展动力转换，提高发展质量和效益，</w:t>
      </w:r>
      <w:r>
        <w:rPr>
          <w:rFonts w:hint="eastAsia"/>
          <w:color w:val="000000"/>
        </w:rPr>
        <w:t>形成以创新为主要引领和支撑的经济体系和发展方式。</w:t>
      </w:r>
      <w:bookmarkStart w:id="28" w:name="_Toc19187"/>
      <w:bookmarkStart w:id="29" w:name="_Toc440730869"/>
      <w:bookmarkStart w:id="30" w:name="_Toc440292079"/>
      <w:bookmarkStart w:id="31" w:name="_Toc440292074"/>
    </w:p>
    <w:p>
      <w:pPr>
        <w:pStyle w:val="3"/>
        <w:spacing w:before="0" w:after="0" w:line="600" w:lineRule="exact"/>
        <w:jc w:val="center"/>
        <w:rPr>
          <w:rFonts w:ascii="Times New Roman" w:hAnsi="Times New Roman" w:eastAsia="方正楷体_GBK" w:cs="Times New Roman"/>
        </w:rPr>
      </w:pPr>
      <w:bookmarkStart w:id="32" w:name="_Toc29525"/>
      <w:r>
        <w:rPr>
          <w:rFonts w:hint="eastAsia" w:ascii="Times New Roman" w:hAnsi="Times New Roman" w:eastAsia="方正楷体_GBK" w:cs="Times New Roman"/>
        </w:rPr>
        <w:t>第三章</w:t>
      </w:r>
      <w:r>
        <w:rPr>
          <w:rFonts w:ascii="Times New Roman" w:hAnsi="Times New Roman" w:eastAsia="方正楷体_GBK" w:cs="Times New Roman"/>
        </w:rPr>
        <w:t xml:space="preserve">  </w:t>
      </w:r>
      <w:r>
        <w:rPr>
          <w:rFonts w:hint="eastAsia" w:ascii="Times New Roman" w:hAnsi="Times New Roman" w:eastAsia="方正楷体_GBK" w:cs="Times New Roman"/>
        </w:rPr>
        <w:t>完善提升科学发展载体</w:t>
      </w:r>
      <w:bookmarkEnd w:id="28"/>
      <w:bookmarkEnd w:id="29"/>
      <w:bookmarkEnd w:id="30"/>
      <w:bookmarkEnd w:id="32"/>
    </w:p>
    <w:p>
      <w:pPr>
        <w:spacing w:line="600" w:lineRule="exact"/>
        <w:ind w:firstLine="632" w:firstLineChars="200"/>
      </w:pPr>
      <w:r>
        <w:rPr>
          <w:rFonts w:hint="eastAsia"/>
        </w:rPr>
        <w:t>围绕企业集中布局、产业集群发展、资源集约利用、功能集合构建，农民向城镇转移的“四集一转”要求，持续强化产业集聚区、商务中心区和特色商业区等载体功能，因地制宜布局专业园区，推动产业集群集聚、节约集约发展，增强要素集聚和辐射带动能力，增强工业化、城镇化引领，打造四化同步科学发展的重要支撑。</w:t>
      </w:r>
    </w:p>
    <w:p>
      <w:pPr>
        <w:pStyle w:val="4"/>
        <w:spacing w:before="0" w:after="0" w:line="600" w:lineRule="exact"/>
        <w:jc w:val="center"/>
        <w:rPr>
          <w:rFonts w:eastAsia="方正仿宋_GBK"/>
        </w:rPr>
      </w:pPr>
      <w:bookmarkStart w:id="33" w:name="_Toc440730870"/>
      <w:bookmarkStart w:id="34" w:name="_Toc800"/>
      <w:bookmarkStart w:id="35" w:name="_Toc18129"/>
      <w:r>
        <w:rPr>
          <w:rFonts w:hint="eastAsia" w:eastAsia="方正仿宋_GBK"/>
        </w:rPr>
        <w:t>第一节</w:t>
      </w:r>
      <w:r>
        <w:rPr>
          <w:rFonts w:eastAsia="方正仿宋_GBK"/>
        </w:rPr>
        <w:t xml:space="preserve">  </w:t>
      </w:r>
      <w:r>
        <w:rPr>
          <w:rFonts w:hint="eastAsia" w:eastAsia="方正仿宋_GBK"/>
        </w:rPr>
        <w:t>推动产业集聚区创新发展</w:t>
      </w:r>
      <w:bookmarkEnd w:id="33"/>
      <w:bookmarkEnd w:id="34"/>
      <w:bookmarkEnd w:id="35"/>
    </w:p>
    <w:p>
      <w:pPr>
        <w:spacing w:line="600" w:lineRule="exact"/>
        <w:ind w:firstLine="632" w:firstLineChars="200"/>
      </w:pPr>
      <w:r>
        <w:rPr>
          <w:rFonts w:hint="eastAsia"/>
        </w:rPr>
        <w:t>突出集群、创新、智慧、绿色发展导向，推动产业集聚区上规模、上水平、上层次，提高吸引力、竞争力、带动力，成为全市制造业主导区、科技创新核心区、产城融合示范区和改革开放先行区。</w:t>
      </w:r>
      <w:r>
        <w:rPr>
          <w:rFonts w:hint="eastAsia"/>
          <w:color w:val="000000"/>
        </w:rPr>
        <w:t>加快由规模扩张向量质并重转变，由依靠要素驱动为主向投资、创新双轮驱动转变，由依靠优惠政策招商向依靠优质综合服务招商转变。持续推进产业集聚区“晋级升位”。</w:t>
      </w:r>
      <w:r>
        <w:rPr>
          <w:rFonts w:hint="eastAsia"/>
        </w:rPr>
        <w:t>建立完善技术创新、保税物流、口岸监管、人力资源、行政服务等公共服务平台。设立产业集聚区创业基金。突出电子信息产业集聚示范区和国际家居产业小镇的引领作用，积极</w:t>
      </w:r>
      <w:r>
        <w:rPr>
          <w:rFonts w:hint="eastAsia"/>
          <w:color w:val="000000"/>
        </w:rPr>
        <w:t>推动信阳高新区和潢川经济技术开发区创建国家级高新区和经济技术开发区。</w:t>
      </w:r>
      <w:r>
        <w:rPr>
          <w:rFonts w:hint="eastAsia"/>
        </w:rPr>
        <w:t>开展产业、土地、城市、生态环境保护、区域公共服务基础设施规划“五规合一”，推动开发空间统筹布局、公共服务和生态环境联建共享，形成产城互动长效发展机制。建设智慧园区，推进信息基础设施优化、开发管理精细化、功能服务专业化和产业发展智能化。</w:t>
      </w:r>
    </w:p>
    <w:p>
      <w:pPr>
        <w:pStyle w:val="4"/>
        <w:spacing w:before="0" w:after="0" w:line="600" w:lineRule="exact"/>
        <w:jc w:val="center"/>
        <w:rPr>
          <w:rFonts w:eastAsia="方正仿宋_GBK"/>
        </w:rPr>
      </w:pPr>
      <w:bookmarkStart w:id="36" w:name="_Toc440730871"/>
      <w:bookmarkStart w:id="37" w:name="_Toc15467"/>
      <w:bookmarkStart w:id="38" w:name="_Toc9467"/>
      <w:r>
        <w:rPr>
          <w:rFonts w:hint="eastAsia" w:eastAsia="方正仿宋_GBK"/>
        </w:rPr>
        <w:t>第二节</w:t>
      </w:r>
      <w:r>
        <w:rPr>
          <w:rFonts w:eastAsia="方正仿宋_GBK"/>
        </w:rPr>
        <w:t xml:space="preserve">  </w:t>
      </w:r>
      <w:r>
        <w:rPr>
          <w:rFonts w:hint="eastAsia" w:eastAsia="方正仿宋_GBK"/>
        </w:rPr>
        <w:t>推动商务中心区和特色商业区</w:t>
      </w:r>
      <w:bookmarkEnd w:id="36"/>
      <w:bookmarkEnd w:id="37"/>
      <w:r>
        <w:rPr>
          <w:rFonts w:hint="eastAsia" w:eastAsia="方正仿宋_GBK"/>
        </w:rPr>
        <w:t>加快发展</w:t>
      </w:r>
      <w:bookmarkEnd w:id="38"/>
    </w:p>
    <w:p>
      <w:pPr>
        <w:widowControl/>
        <w:spacing w:line="600" w:lineRule="exact"/>
        <w:ind w:firstLine="632" w:firstLineChars="200"/>
      </w:pPr>
      <w:r>
        <w:rPr>
          <w:rFonts w:hint="eastAsia"/>
        </w:rPr>
        <w:t>突出商务中心区和特色商业区专业引领、创新驱动、支撑有力的服务功能，强化高端要素集聚、品牌特色培育、服务功能提升、产城融合互动。建立完善研发设计、检验检测、投融资及展示交易、信息服务、电子商务等公共服务平台，与产业集聚区配套联动，增强商务中心区的生产性服务功能。以特色商业街打造、大型综合商业设施和专业市场建设为主要抓手，积极培育主导产业和特色产业，推动商业集散型、商文旅联动型、休闲体验型商业区建设，增强特色商业区的生活性服务功能。</w:t>
      </w:r>
    </w:p>
    <w:p>
      <w:pPr>
        <w:pStyle w:val="4"/>
        <w:spacing w:before="0" w:after="0" w:line="600" w:lineRule="exact"/>
        <w:jc w:val="center"/>
        <w:rPr>
          <w:rFonts w:eastAsia="方正仿宋_GBK"/>
        </w:rPr>
      </w:pPr>
      <w:bookmarkStart w:id="39" w:name="_Toc440730872"/>
      <w:bookmarkStart w:id="40" w:name="_Toc9967"/>
      <w:bookmarkStart w:id="41" w:name="_Toc23332"/>
      <w:r>
        <w:rPr>
          <w:rFonts w:hint="eastAsia" w:eastAsia="方正仿宋_GBK"/>
        </w:rPr>
        <w:t>第三节</w:t>
      </w:r>
      <w:r>
        <w:rPr>
          <w:rFonts w:eastAsia="方正仿宋_GBK"/>
        </w:rPr>
        <w:t xml:space="preserve">  </w:t>
      </w:r>
      <w:r>
        <w:rPr>
          <w:rFonts w:hint="eastAsia" w:eastAsia="方正仿宋_GBK"/>
        </w:rPr>
        <w:t>优化布局专业园区</w:t>
      </w:r>
      <w:bookmarkEnd w:id="39"/>
      <w:bookmarkEnd w:id="40"/>
      <w:bookmarkEnd w:id="41"/>
    </w:p>
    <w:p>
      <w:pPr>
        <w:widowControl/>
        <w:spacing w:line="600" w:lineRule="exact"/>
        <w:ind w:firstLine="632" w:firstLineChars="200"/>
        <w:rPr>
          <w:rFonts w:eastAsia="仿宋_GB2312"/>
        </w:rPr>
      </w:pPr>
      <w:r>
        <w:rPr>
          <w:rFonts w:hint="eastAsia"/>
        </w:rPr>
        <w:t>坚持集中集约、突出特色、重点突破，在有产业基础的重点镇，布局建设、整合提升一批农产品加工、服务业专业园区，推动初级加工、电商物流、批发仓储等项目集聚，形成与产业集聚区错位互补的发展格局，培育发展后续力量。</w:t>
      </w:r>
    </w:p>
    <w:tbl>
      <w:tblPr>
        <w:tblStyle w:val="7"/>
        <w:tblW w:w="82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82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小标宋_GBK"/>
                <w:sz w:val="28"/>
                <w:szCs w:val="24"/>
              </w:rPr>
            </w:pPr>
            <w:r>
              <w:rPr>
                <w:rFonts w:hint="eastAsia" w:eastAsia="方正小标宋_GBK"/>
                <w:spacing w:val="-8"/>
                <w:sz w:val="28"/>
                <w:szCs w:val="24"/>
              </w:rPr>
              <w:t>专栏</w:t>
            </w:r>
            <w:r>
              <w:rPr>
                <w:rFonts w:eastAsia="方正小标宋_GBK"/>
                <w:spacing w:val="-8"/>
                <w:sz w:val="28"/>
                <w:szCs w:val="24"/>
              </w:rPr>
              <w:t>3:</w:t>
            </w:r>
            <w:r>
              <w:rPr>
                <w:rFonts w:hint="eastAsia" w:eastAsia="方正小标宋_GBK"/>
                <w:spacing w:val="-8"/>
                <w:sz w:val="28"/>
                <w:szCs w:val="24"/>
              </w:rPr>
              <w:t>科学发展载体建设重点任务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0" w:hRule="atLeast"/>
          <w:jc w:val="center"/>
        </w:trPr>
        <w:tc>
          <w:tcPr>
            <w:tcW w:w="8292" w:type="dxa"/>
            <w:tcBorders>
              <w:top w:val="single" w:color="000000" w:sz="4" w:space="0"/>
              <w:left w:val="single" w:color="000000" w:sz="4" w:space="0"/>
              <w:bottom w:val="single" w:color="000000" w:sz="4" w:space="0"/>
              <w:right w:val="single" w:color="000000" w:sz="4" w:space="0"/>
            </w:tcBorders>
            <w:vAlign w:val="top"/>
          </w:tcPr>
          <w:p>
            <w:pPr>
              <w:spacing w:line="320" w:lineRule="exact"/>
              <w:ind w:firstLine="474" w:firstLineChars="200"/>
              <w:rPr>
                <w:sz w:val="24"/>
                <w:szCs w:val="24"/>
              </w:rPr>
            </w:pPr>
            <w:r>
              <w:rPr>
                <w:rFonts w:hint="eastAsia"/>
                <w:b/>
                <w:bCs/>
                <w:sz w:val="24"/>
                <w:szCs w:val="24"/>
              </w:rPr>
              <w:t>产业集聚区。</w:t>
            </w:r>
            <w:r>
              <w:rPr>
                <w:rFonts w:hint="eastAsia"/>
                <w:sz w:val="24"/>
                <w:szCs w:val="24"/>
              </w:rPr>
              <w:t>以产业集聚区为载体，培育形成</w:t>
            </w:r>
            <w:r>
              <w:rPr>
                <w:sz w:val="24"/>
                <w:szCs w:val="24"/>
              </w:rPr>
              <w:t>5</w:t>
            </w:r>
            <w:r>
              <w:rPr>
                <w:rFonts w:hint="eastAsia"/>
                <w:sz w:val="24"/>
                <w:szCs w:val="24"/>
              </w:rPr>
              <w:t>个规模超千亿元产业集群。到</w:t>
            </w:r>
            <w:r>
              <w:rPr>
                <w:sz w:val="24"/>
                <w:szCs w:val="24"/>
              </w:rPr>
              <w:t>2020</w:t>
            </w:r>
            <w:r>
              <w:rPr>
                <w:rFonts w:hint="eastAsia"/>
                <w:sz w:val="24"/>
                <w:szCs w:val="24"/>
              </w:rPr>
              <w:t>年，全市产业集聚区规模以上工业主营业务收入超过</w:t>
            </w:r>
            <w:r>
              <w:rPr>
                <w:sz w:val="24"/>
                <w:szCs w:val="24"/>
              </w:rPr>
              <w:t>2600</w:t>
            </w:r>
            <w:r>
              <w:rPr>
                <w:rFonts w:hint="eastAsia"/>
                <w:sz w:val="24"/>
                <w:szCs w:val="24"/>
              </w:rPr>
              <w:t>亿元，占全市规模以上工业的比重超过</w:t>
            </w:r>
            <w:r>
              <w:rPr>
                <w:sz w:val="24"/>
                <w:szCs w:val="24"/>
              </w:rPr>
              <w:t>80%</w:t>
            </w:r>
            <w:r>
              <w:rPr>
                <w:rFonts w:hint="eastAsia"/>
                <w:sz w:val="24"/>
                <w:szCs w:val="24"/>
              </w:rPr>
              <w:t>；推动产业集聚区晋级升位，三星级达到</w:t>
            </w:r>
            <w:r>
              <w:rPr>
                <w:sz w:val="24"/>
                <w:szCs w:val="24"/>
              </w:rPr>
              <w:t>3</w:t>
            </w:r>
            <w:r>
              <w:rPr>
                <w:rFonts w:hint="eastAsia"/>
                <w:sz w:val="24"/>
                <w:szCs w:val="24"/>
              </w:rPr>
              <w:t>个、二星级达到</w:t>
            </w:r>
            <w:r>
              <w:rPr>
                <w:sz w:val="24"/>
                <w:szCs w:val="24"/>
              </w:rPr>
              <w:t>6</w:t>
            </w:r>
            <w:r>
              <w:rPr>
                <w:rFonts w:hint="eastAsia"/>
                <w:sz w:val="24"/>
                <w:szCs w:val="24"/>
              </w:rPr>
              <w:t>个，一星级达到</w:t>
            </w:r>
            <w:r>
              <w:rPr>
                <w:sz w:val="24"/>
                <w:szCs w:val="24"/>
              </w:rPr>
              <w:t>4</w:t>
            </w:r>
            <w:r>
              <w:rPr>
                <w:rFonts w:hint="eastAsia"/>
                <w:sz w:val="24"/>
                <w:szCs w:val="24"/>
              </w:rPr>
              <w:t>个。</w:t>
            </w:r>
          </w:p>
          <w:p>
            <w:pPr>
              <w:spacing w:line="320" w:lineRule="exact"/>
              <w:ind w:firstLine="474" w:firstLineChars="200"/>
              <w:rPr>
                <w:sz w:val="24"/>
                <w:szCs w:val="24"/>
              </w:rPr>
            </w:pPr>
            <w:r>
              <w:rPr>
                <w:rFonts w:hint="eastAsia"/>
                <w:b/>
                <w:bCs/>
                <w:sz w:val="24"/>
                <w:szCs w:val="24"/>
              </w:rPr>
              <w:t>商务中心区和特色商业区。</w:t>
            </w:r>
            <w:r>
              <w:rPr>
                <w:rFonts w:hint="eastAsia"/>
                <w:sz w:val="24"/>
                <w:szCs w:val="24"/>
              </w:rPr>
              <w:t>培育形成</w:t>
            </w:r>
            <w:r>
              <w:rPr>
                <w:sz w:val="24"/>
                <w:szCs w:val="24"/>
              </w:rPr>
              <w:t>2</w:t>
            </w:r>
            <w:r>
              <w:rPr>
                <w:rFonts w:hint="eastAsia"/>
                <w:sz w:val="24"/>
                <w:szCs w:val="24"/>
              </w:rPr>
              <w:t>个营业收入超百亿的服务业集群，重点建设</w:t>
            </w:r>
            <w:r>
              <w:rPr>
                <w:sz w:val="24"/>
                <w:szCs w:val="24"/>
              </w:rPr>
              <w:t>3</w:t>
            </w:r>
            <w:r>
              <w:rPr>
                <w:rFonts w:hint="eastAsia"/>
                <w:sz w:val="24"/>
                <w:szCs w:val="24"/>
              </w:rPr>
              <w:t>个精品商业街区、</w:t>
            </w:r>
            <w:r>
              <w:rPr>
                <w:sz w:val="24"/>
                <w:szCs w:val="24"/>
              </w:rPr>
              <w:t>2</w:t>
            </w:r>
            <w:r>
              <w:rPr>
                <w:rFonts w:hint="eastAsia"/>
                <w:sz w:val="24"/>
                <w:szCs w:val="24"/>
              </w:rPr>
              <w:t>栋千万元税收楼宇、</w:t>
            </w:r>
            <w:r>
              <w:rPr>
                <w:sz w:val="24"/>
                <w:szCs w:val="24"/>
              </w:rPr>
              <w:t>3</w:t>
            </w:r>
            <w:r>
              <w:rPr>
                <w:rFonts w:hint="eastAsia"/>
                <w:sz w:val="24"/>
                <w:szCs w:val="24"/>
              </w:rPr>
              <w:t>个大型综合商业设施和一批大型城市综合体项目、大型现代专业市场。到</w:t>
            </w:r>
            <w:r>
              <w:rPr>
                <w:sz w:val="24"/>
                <w:szCs w:val="24"/>
              </w:rPr>
              <w:t>2020</w:t>
            </w:r>
            <w:r>
              <w:rPr>
                <w:rFonts w:hint="eastAsia"/>
                <w:sz w:val="24"/>
                <w:szCs w:val="24"/>
              </w:rPr>
              <w:t>年，商务中心区和特色商业区增加值、从业人员占全市服务业的比重均达到</w:t>
            </w:r>
            <w:r>
              <w:rPr>
                <w:sz w:val="24"/>
                <w:szCs w:val="24"/>
              </w:rPr>
              <w:t>10%</w:t>
            </w:r>
            <w:r>
              <w:rPr>
                <w:rFonts w:hint="eastAsia"/>
                <w:sz w:val="24"/>
                <w:szCs w:val="24"/>
              </w:rPr>
              <w:t>左右。</w:t>
            </w:r>
          </w:p>
          <w:p>
            <w:pPr>
              <w:spacing w:line="320" w:lineRule="exact"/>
              <w:ind w:firstLine="474" w:firstLineChars="200"/>
              <w:rPr>
                <w:rFonts w:eastAsia="仿宋_GB2312"/>
                <w:sz w:val="24"/>
                <w:szCs w:val="24"/>
              </w:rPr>
            </w:pPr>
            <w:r>
              <w:rPr>
                <w:rFonts w:hint="eastAsia"/>
                <w:b/>
                <w:bCs/>
                <w:sz w:val="24"/>
                <w:szCs w:val="24"/>
              </w:rPr>
              <w:t>专业园区。</w:t>
            </w:r>
            <w:r>
              <w:rPr>
                <w:rFonts w:hint="eastAsia"/>
                <w:sz w:val="24"/>
                <w:szCs w:val="24"/>
              </w:rPr>
              <w:t>实行市级统筹，在有条件的地方布局建设一批专业园区，按照省定考核标准，积极争取专业园区晋级为产业集聚区。</w:t>
            </w:r>
          </w:p>
        </w:tc>
      </w:tr>
    </w:tbl>
    <w:p>
      <w:pPr>
        <w:pStyle w:val="3"/>
        <w:spacing w:before="0" w:after="0" w:line="580" w:lineRule="exact"/>
        <w:jc w:val="center"/>
        <w:rPr>
          <w:rFonts w:ascii="Times New Roman" w:hAnsi="Times New Roman" w:eastAsia="方正楷体_GBK" w:cs="Times New Roman"/>
        </w:rPr>
      </w:pPr>
      <w:bookmarkStart w:id="42" w:name="_Toc30510"/>
      <w:bookmarkStart w:id="43" w:name="_Toc12447"/>
      <w:bookmarkStart w:id="44" w:name="_Toc440730873"/>
      <w:r>
        <w:rPr>
          <w:rFonts w:hint="eastAsia" w:ascii="Times New Roman" w:hAnsi="Times New Roman" w:eastAsia="方正楷体_GBK" w:cs="Times New Roman"/>
        </w:rPr>
        <w:t>第四章</w:t>
      </w:r>
      <w:r>
        <w:rPr>
          <w:rFonts w:ascii="Times New Roman" w:hAnsi="Times New Roman" w:eastAsia="方正楷体_GBK" w:cs="Times New Roman"/>
        </w:rPr>
        <w:t xml:space="preserve">  </w:t>
      </w:r>
      <w:r>
        <w:rPr>
          <w:rFonts w:hint="eastAsia" w:ascii="Times New Roman" w:hAnsi="Times New Roman" w:eastAsia="方正楷体_GBK" w:cs="Times New Roman"/>
        </w:rPr>
        <w:t>加快构建现代产业新体系</w:t>
      </w:r>
      <w:bookmarkEnd w:id="31"/>
      <w:bookmarkEnd w:id="42"/>
      <w:bookmarkEnd w:id="43"/>
      <w:bookmarkEnd w:id="44"/>
      <w:bookmarkStart w:id="45" w:name="_Toc17339"/>
    </w:p>
    <w:p>
      <w:pPr>
        <w:spacing w:line="580" w:lineRule="exact"/>
        <w:ind w:firstLine="632" w:firstLineChars="200"/>
      </w:pPr>
      <w:bookmarkStart w:id="46" w:name="_Toc436387680"/>
      <w:r>
        <w:rPr>
          <w:rFonts w:hint="eastAsia"/>
          <w:color w:val="000000"/>
        </w:rPr>
        <w:t>以生态发展为方向，着力推动产业生态化，走新型工业化道路</w:t>
      </w:r>
      <w:r>
        <w:rPr>
          <w:rFonts w:hint="eastAsia"/>
        </w:rPr>
        <w:t>，</w:t>
      </w:r>
      <w:bookmarkEnd w:id="45"/>
      <w:bookmarkEnd w:id="46"/>
      <w:r>
        <w:rPr>
          <w:rFonts w:hint="eastAsia"/>
        </w:rPr>
        <w:t>加快发展节能环保、新能源、新型建材、电商物流、高技术产业等现代工业和现代服务业，发展特色优质高效农业，打造无公害、绿色、有机农产品生产基地，推行清洁生产，建设生态产业园，积极发展网络经济，打造充满发展活力的生态经济先行区。</w:t>
      </w:r>
      <w:r>
        <w:t xml:space="preserve">   </w:t>
      </w:r>
    </w:p>
    <w:p>
      <w:pPr>
        <w:pStyle w:val="4"/>
        <w:spacing w:before="0" w:after="0" w:line="580" w:lineRule="exact"/>
        <w:jc w:val="center"/>
        <w:rPr>
          <w:rFonts w:eastAsia="方正仿宋_GBK"/>
        </w:rPr>
      </w:pPr>
      <w:bookmarkStart w:id="47" w:name="_Toc440292075"/>
      <w:bookmarkStart w:id="48" w:name="_Toc440730874"/>
      <w:bookmarkStart w:id="49" w:name="_Toc29296"/>
      <w:bookmarkStart w:id="50" w:name="_Toc30279"/>
      <w:r>
        <w:rPr>
          <w:rFonts w:hint="eastAsia" w:eastAsia="方正仿宋_GBK"/>
        </w:rPr>
        <w:t>第一节</w:t>
      </w:r>
      <w:r>
        <w:rPr>
          <w:rFonts w:eastAsia="方正仿宋_GBK"/>
        </w:rPr>
        <w:t xml:space="preserve">  </w:t>
      </w:r>
      <w:r>
        <w:rPr>
          <w:rFonts w:hint="eastAsia" w:eastAsia="方正仿宋_GBK"/>
        </w:rPr>
        <w:t>加快发展现代工业</w:t>
      </w:r>
      <w:bookmarkEnd w:id="27"/>
      <w:bookmarkEnd w:id="47"/>
      <w:bookmarkEnd w:id="48"/>
      <w:bookmarkEnd w:id="49"/>
      <w:bookmarkEnd w:id="50"/>
    </w:p>
    <w:p>
      <w:pPr>
        <w:spacing w:line="580" w:lineRule="exact"/>
        <w:ind w:firstLine="632" w:firstLineChars="200"/>
      </w:pPr>
      <w:r>
        <w:rPr>
          <w:rFonts w:hint="eastAsia"/>
        </w:rPr>
        <w:t>秉持“四个工业”发展理念，引导第二产业发展方向和布局。有机结合政府规划引导和市场机制决定性作用，围绕延链补链，加快招引带动能力强、产业链条完备的高端制造业，着力提升新型工业化发展水平和层次。</w:t>
      </w:r>
      <w:r>
        <w:t> </w:t>
      </w:r>
    </w:p>
    <w:p>
      <w:pPr>
        <w:spacing w:line="580" w:lineRule="exact"/>
        <w:ind w:firstLine="634" w:firstLineChars="200"/>
        <w:rPr>
          <w:rFonts w:eastAsia="仿宋_GB2312"/>
        </w:rPr>
      </w:pPr>
      <w:r>
        <w:rPr>
          <w:rFonts w:hint="eastAsia"/>
          <w:b/>
          <w:bCs/>
        </w:rPr>
        <w:t>实施“百千”亿级优势产业集群培育工程。</w:t>
      </w:r>
      <w:r>
        <w:rPr>
          <w:rFonts w:hint="eastAsia"/>
        </w:rPr>
        <w:t>坚持集群化发展战略，依托产业集聚区，围绕主导产业，按照成长性最好、竞争力最强、关联度最高的原则，推行专业化产业链集群式承接转移，以最佳物流半径构建上下游衔接的区域产业链和支撑配套体系，市级层面打造千亿级主导产业集群，县级层面打造百亿级特色产业集群，培育一批具有核心竞争优势的集群品牌。</w:t>
      </w:r>
    </w:p>
    <w:tbl>
      <w:tblPr>
        <w:tblStyle w:val="7"/>
        <w:tblW w:w="83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
                <w:bCs/>
                <w:spacing w:val="-8"/>
                <w:sz w:val="24"/>
                <w:szCs w:val="24"/>
              </w:rPr>
            </w:pPr>
            <w:r>
              <w:rPr>
                <w:rFonts w:hint="eastAsia" w:eastAsia="方正小标宋_GBK"/>
                <w:spacing w:val="-8"/>
                <w:sz w:val="28"/>
                <w:szCs w:val="24"/>
              </w:rPr>
              <w:t>专栏</w:t>
            </w:r>
            <w:r>
              <w:rPr>
                <w:rFonts w:eastAsia="方正小标宋_GBK"/>
                <w:spacing w:val="-8"/>
                <w:sz w:val="28"/>
                <w:szCs w:val="24"/>
              </w:rPr>
              <w:t>4</w:t>
            </w:r>
            <w:r>
              <w:rPr>
                <w:rFonts w:hint="eastAsia" w:eastAsia="方正小标宋_GBK"/>
                <w:spacing w:val="-8"/>
                <w:sz w:val="28"/>
                <w:szCs w:val="24"/>
              </w:rPr>
              <w:t>：“百千”亿级优势产业集群</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1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4" w:firstLineChars="200"/>
              <w:rPr>
                <w:sz w:val="24"/>
                <w:szCs w:val="24"/>
              </w:rPr>
            </w:pPr>
            <w:r>
              <w:rPr>
                <w:rFonts w:hint="eastAsia"/>
                <w:b/>
                <w:bCs/>
                <w:sz w:val="24"/>
                <w:szCs w:val="24"/>
              </w:rPr>
              <w:t>千亿级集群。</w:t>
            </w:r>
            <w:r>
              <w:rPr>
                <w:rFonts w:hint="eastAsia"/>
                <w:sz w:val="24"/>
                <w:szCs w:val="24"/>
              </w:rPr>
              <w:t>电子信息（依托信阳高新区和罗山县产业集聚区）、现代家居（依托国际家居产业小镇）、绿色食品（依托羊山新区、商城县、息县、淮滨县、潢川县等产业集聚区）、新型建材（依托上天梯、平桥产业集聚区）、现代物流（依托金牛物流、潢川经济技术产业集聚区）。</w:t>
            </w:r>
          </w:p>
          <w:p>
            <w:pPr>
              <w:spacing w:line="400" w:lineRule="exact"/>
              <w:ind w:firstLine="474" w:firstLineChars="200"/>
              <w:rPr>
                <w:rFonts w:eastAsia="仿宋_GB2312"/>
                <w:b/>
                <w:bCs/>
                <w:sz w:val="24"/>
                <w:szCs w:val="24"/>
              </w:rPr>
            </w:pPr>
            <w:r>
              <w:rPr>
                <w:rFonts w:hint="eastAsia"/>
                <w:b/>
                <w:bCs/>
                <w:sz w:val="24"/>
                <w:szCs w:val="24"/>
              </w:rPr>
              <w:t>百亿级集群。</w:t>
            </w:r>
            <w:r>
              <w:rPr>
                <w:rFonts w:hint="eastAsia"/>
                <w:sz w:val="24"/>
                <w:szCs w:val="24"/>
              </w:rPr>
              <w:t>针对千亿级产业集群中的细分行业，推动各县区依托产业集聚区，在智能手机、家具生产、茶产业、禽肉加工、主食加工、纺织服装、羽绒制品、医药制造、环保装备等方面，重点培育一批百亿元特色产业集群</w:t>
            </w:r>
            <w:r>
              <w:rPr>
                <w:rFonts w:hint="eastAsia" w:eastAsia="仿宋_GB2312"/>
                <w:sz w:val="24"/>
                <w:szCs w:val="24"/>
              </w:rPr>
              <w:t>。</w:t>
            </w:r>
          </w:p>
        </w:tc>
      </w:tr>
    </w:tbl>
    <w:p>
      <w:pPr>
        <w:spacing w:line="580" w:lineRule="exact"/>
        <w:ind w:firstLine="634" w:firstLineChars="200"/>
      </w:pPr>
      <w:r>
        <w:rPr>
          <w:rFonts w:hint="eastAsia"/>
          <w:b/>
          <w:bCs/>
        </w:rPr>
        <w:t>积极培育新兴产业发展。</w:t>
      </w:r>
      <w:r>
        <w:rPr>
          <w:rFonts w:hint="eastAsia"/>
        </w:rPr>
        <w:t>以工业园区、商用楼宇等为载体，发展与传统工业相联系的轻型、微型、高科技、环保都市型工业。大力发展知识技术密集、物质资源消耗少、综合效益好的战略性新兴产业。推进重大产业创新发展工程建设，加快培育节能环保、智能制造、新能源汽车等产业成为新的经济增长点。</w:t>
      </w:r>
    </w:p>
    <w:tbl>
      <w:tblPr>
        <w:tblStyle w:val="7"/>
        <w:tblW w:w="83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83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小标宋_GBK"/>
                <w:sz w:val="28"/>
                <w:szCs w:val="24"/>
              </w:rPr>
            </w:pPr>
            <w:r>
              <w:rPr>
                <w:rFonts w:hint="eastAsia" w:eastAsia="方正小标宋_GBK"/>
                <w:spacing w:val="-8"/>
                <w:sz w:val="28"/>
                <w:szCs w:val="24"/>
              </w:rPr>
              <w:t>专栏</w:t>
            </w:r>
            <w:r>
              <w:rPr>
                <w:rFonts w:eastAsia="方正小标宋_GBK"/>
                <w:spacing w:val="-8"/>
                <w:sz w:val="28"/>
                <w:szCs w:val="24"/>
              </w:rPr>
              <w:t>5</w:t>
            </w:r>
            <w:r>
              <w:rPr>
                <w:rFonts w:hint="eastAsia" w:eastAsia="方正小标宋_GBK"/>
                <w:spacing w:val="-8"/>
                <w:sz w:val="28"/>
                <w:szCs w:val="24"/>
              </w:rPr>
              <w:t>：重点培育的新兴产业</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8" w:hRule="atLeast"/>
          <w:jc w:val="center"/>
        </w:trPr>
        <w:tc>
          <w:tcPr>
            <w:tcW w:w="8325"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节能环保。</w:t>
            </w:r>
            <w:r>
              <w:rPr>
                <w:rFonts w:hint="eastAsia"/>
                <w:sz w:val="24"/>
                <w:szCs w:val="24"/>
              </w:rPr>
              <w:t>重点培育上天梯新型节能建材业、商城节能环保装备制造业和光山三元光电远红外线灶具制造业，打造一批节能环保产业基地。</w:t>
            </w:r>
          </w:p>
          <w:p>
            <w:pPr>
              <w:spacing w:line="400" w:lineRule="exact"/>
              <w:ind w:firstLine="474" w:firstLineChars="200"/>
              <w:rPr>
                <w:b/>
                <w:bCs/>
                <w:sz w:val="24"/>
                <w:szCs w:val="24"/>
              </w:rPr>
            </w:pPr>
            <w:r>
              <w:rPr>
                <w:rFonts w:hint="eastAsia"/>
                <w:b/>
                <w:bCs/>
                <w:sz w:val="24"/>
                <w:szCs w:val="24"/>
              </w:rPr>
              <w:t>智能制造。</w:t>
            </w:r>
            <w:r>
              <w:rPr>
                <w:rFonts w:hint="eastAsia"/>
                <w:sz w:val="24"/>
                <w:szCs w:val="24"/>
              </w:rPr>
              <w:t>加强与中国机械科学研究总院合作，加快机械臂等工业机器人制造业的发展。</w:t>
            </w:r>
          </w:p>
          <w:p>
            <w:pPr>
              <w:spacing w:line="400" w:lineRule="exact"/>
              <w:ind w:firstLine="474" w:firstLineChars="200"/>
              <w:rPr>
                <w:rFonts w:eastAsia="仿宋_GB2312"/>
                <w:sz w:val="24"/>
                <w:szCs w:val="24"/>
              </w:rPr>
            </w:pPr>
            <w:r>
              <w:rPr>
                <w:rFonts w:hint="eastAsia"/>
                <w:b/>
                <w:bCs/>
                <w:sz w:val="24"/>
                <w:szCs w:val="24"/>
              </w:rPr>
              <w:t>新能源汽车。</w:t>
            </w:r>
            <w:r>
              <w:rPr>
                <w:rFonts w:hint="eastAsia"/>
                <w:sz w:val="24"/>
                <w:szCs w:val="24"/>
              </w:rPr>
              <w:t>加快推进纯电动车项目建设，促进新能源汽车整车发展，提升核心零部件配套能力。</w:t>
            </w:r>
          </w:p>
        </w:tc>
      </w:tr>
    </w:tbl>
    <w:p>
      <w:pPr>
        <w:spacing w:line="580" w:lineRule="exact"/>
        <w:ind w:firstLine="634" w:firstLineChars="200"/>
      </w:pPr>
      <w:r>
        <w:rPr>
          <w:rFonts w:hint="eastAsia"/>
          <w:b/>
          <w:bCs/>
        </w:rPr>
        <w:t>积极改造升级传统产业。</w:t>
      </w:r>
      <w:r>
        <w:rPr>
          <w:rFonts w:hint="eastAsia"/>
        </w:rPr>
        <w:t>坚持区别对待、分业施策，推动传统产业向集群发展转变、向产业链中高端转变、向环境友好绿色发展转变、向创新驱动型为主转变，采用高新技术和先进设备改造提升纺织、船舶制造等传统制造业，推动传统产业的创新发展和跨越发展。</w:t>
      </w:r>
    </w:p>
    <w:tbl>
      <w:tblPr>
        <w:tblStyle w:val="7"/>
        <w:tblW w:w="83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0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仿宋_GB2312"/>
                <w:b/>
                <w:bCs/>
                <w:spacing w:val="-8"/>
                <w:sz w:val="24"/>
                <w:szCs w:val="24"/>
              </w:rPr>
            </w:pPr>
            <w:r>
              <w:rPr>
                <w:rFonts w:hint="eastAsia" w:eastAsia="方正小标宋_GBK"/>
                <w:spacing w:val="-8"/>
                <w:sz w:val="28"/>
                <w:szCs w:val="24"/>
              </w:rPr>
              <w:t>专栏</w:t>
            </w:r>
            <w:r>
              <w:rPr>
                <w:rFonts w:eastAsia="方正小标宋_GBK"/>
                <w:spacing w:val="-8"/>
                <w:sz w:val="28"/>
                <w:szCs w:val="24"/>
              </w:rPr>
              <w:t>6</w:t>
            </w:r>
            <w:r>
              <w:rPr>
                <w:rFonts w:hint="eastAsia" w:eastAsia="方正小标宋_GBK"/>
                <w:spacing w:val="-8"/>
                <w:sz w:val="28"/>
                <w:szCs w:val="24"/>
              </w:rPr>
              <w:t>：改造升级的传统产业</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0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74" w:firstLineChars="200"/>
              <w:rPr>
                <w:sz w:val="24"/>
                <w:szCs w:val="24"/>
              </w:rPr>
            </w:pPr>
            <w:r>
              <w:rPr>
                <w:rFonts w:hint="eastAsia"/>
                <w:b/>
                <w:bCs/>
                <w:sz w:val="24"/>
                <w:szCs w:val="24"/>
              </w:rPr>
              <w:t>纺织。</w:t>
            </w:r>
            <w:r>
              <w:rPr>
                <w:rFonts w:hint="eastAsia"/>
                <w:sz w:val="24"/>
                <w:szCs w:val="24"/>
              </w:rPr>
              <w:t>加快纺织业技术工艺更新、应用，提高产品质量和档次，发展具有特色的纺织品和生产链条。</w:t>
            </w:r>
          </w:p>
          <w:p>
            <w:pPr>
              <w:spacing w:line="500" w:lineRule="exact"/>
              <w:ind w:firstLine="474" w:firstLineChars="200"/>
              <w:jc w:val="left"/>
              <w:rPr>
                <w:sz w:val="24"/>
                <w:szCs w:val="24"/>
              </w:rPr>
            </w:pPr>
            <w:r>
              <w:rPr>
                <w:rFonts w:hint="eastAsia"/>
                <w:b/>
                <w:bCs/>
                <w:sz w:val="24"/>
                <w:szCs w:val="24"/>
              </w:rPr>
              <w:t>船舶制造。</w:t>
            </w:r>
            <w:r>
              <w:rPr>
                <w:rFonts w:hint="eastAsia"/>
                <w:sz w:val="24"/>
                <w:szCs w:val="24"/>
              </w:rPr>
              <w:t>推动企业强强联合、做大做强，加强技术改造，提高自主创新能力。</w:t>
            </w:r>
          </w:p>
        </w:tc>
      </w:tr>
    </w:tbl>
    <w:p>
      <w:pPr>
        <w:spacing w:line="580" w:lineRule="exact"/>
        <w:ind w:firstLine="634" w:firstLineChars="200"/>
      </w:pPr>
      <w:r>
        <w:rPr>
          <w:rFonts w:hint="eastAsia"/>
          <w:b/>
          <w:bCs/>
        </w:rPr>
        <w:t>实施智能制造应用示范工程。</w:t>
      </w:r>
      <w:r>
        <w:rPr>
          <w:rFonts w:hint="eastAsia"/>
        </w:rPr>
        <w:t>推进生产过程智能化，全面提升制造业数字化、网络化、智能化水平，推动生产方式向柔性、智能、精细转变。以电子信息、绿色食品、现代家居、新型建材等行业为重点，加快企业装备和生产系统智能化改造，建设一批数字化车间和智能工厂</w:t>
      </w:r>
      <w:commentRangeStart w:id="0"/>
      <w:r>
        <w:rPr>
          <w:rStyle w:val="8"/>
        </w:rPr>
        <w:footnoteReference w:id="4"/>
      </w:r>
      <w:commentRangeEnd w:id="0"/>
      <w:r>
        <w:rPr>
          <w:rStyle w:val="8"/>
        </w:rPr>
        <w:commentReference w:id="0"/>
      </w:r>
      <w:r>
        <w:rPr>
          <w:rFonts w:hint="eastAsia"/>
        </w:rPr>
        <w:t>，推进关键工序智能化、生产过程智能化。开展互联网与工业创新融合试点，推广应用个性化定制、柔性化制造等智能制造新模式。</w:t>
      </w:r>
      <w:r>
        <w:rPr>
          <w:b/>
          <w:bCs/>
        </w:rPr>
        <w:t xml:space="preserve">  </w:t>
      </w:r>
    </w:p>
    <w:p>
      <w:pPr>
        <w:spacing w:line="580" w:lineRule="exact"/>
        <w:ind w:firstLine="634" w:firstLineChars="200"/>
        <w:rPr>
          <w:b/>
          <w:bCs/>
        </w:rPr>
      </w:pPr>
      <w:r>
        <w:rPr>
          <w:rFonts w:hint="eastAsia"/>
          <w:b/>
          <w:bCs/>
        </w:rPr>
        <w:t>实施绿色制造推广工程。</w:t>
      </w:r>
      <w:r>
        <w:rPr>
          <w:rFonts w:hint="eastAsia"/>
        </w:rPr>
        <w:t>加强节能环保技术、工艺、装备的研发和推广应用，推动制造业绿色改造升级，构建高效、清洁、低碳制造体系。提升工业清洁生产水平，增强绿色精益制造能力。提高工业废物资源化利用水平，发展再制造产业，建设绿色工厂、</w:t>
      </w:r>
      <w:r>
        <w:rPr>
          <w:rFonts w:hint="eastAsia"/>
          <w:color w:val="000000"/>
        </w:rPr>
        <w:t>生态产业园</w:t>
      </w:r>
      <w:r>
        <w:rPr>
          <w:rFonts w:hint="eastAsia"/>
        </w:rPr>
        <w:t>。</w:t>
      </w:r>
    </w:p>
    <w:p>
      <w:pPr>
        <w:spacing w:line="580" w:lineRule="exact"/>
        <w:ind w:firstLine="634" w:firstLineChars="200"/>
        <w:rPr>
          <w:rFonts w:hint="eastAsia"/>
        </w:rPr>
      </w:pPr>
      <w:r>
        <w:rPr>
          <w:rFonts w:hint="eastAsia"/>
          <w:b/>
          <w:bCs/>
        </w:rPr>
        <w:t>实施质量品牌提升工程。</w:t>
      </w:r>
      <w:r>
        <w:rPr>
          <w:rFonts w:hint="eastAsia"/>
        </w:rPr>
        <w:t>提升质量控制技术，夯实质量发展基础。继续发挥省长质量奖、市长质量奖的导向作用，开展质量标杆和领先企业示范活动，引导企业建立健全质量管理体系，推广应用先进质量管理模式和方法。完善质量技术标准体系，支持龙头企业参与制定行业和国家标准。培育自主品牌，不断提升企业品牌价值，推进区域品牌创建。</w:t>
      </w:r>
    </w:p>
    <w:p>
      <w:pPr>
        <w:spacing w:line="580" w:lineRule="exact"/>
        <w:ind w:firstLine="634" w:firstLineChars="200"/>
        <w:rPr>
          <w:b/>
          <w:bCs/>
        </w:rPr>
      </w:pPr>
    </w:p>
    <w:tbl>
      <w:tblPr>
        <w:tblStyle w:val="7"/>
        <w:tblW w:w="83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0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
                <w:bCs/>
                <w:spacing w:val="-8"/>
                <w:sz w:val="24"/>
                <w:szCs w:val="24"/>
              </w:rPr>
            </w:pPr>
            <w:bookmarkStart w:id="51" w:name="_Toc468"/>
            <w:bookmarkStart w:id="52" w:name="_Toc440292076"/>
            <w:bookmarkStart w:id="53" w:name="_Toc440730875"/>
            <w:bookmarkStart w:id="54" w:name="_Toc433872648"/>
            <w:r>
              <w:rPr>
                <w:rFonts w:hint="eastAsia" w:eastAsia="方正小标宋_GBK"/>
                <w:spacing w:val="-8"/>
                <w:sz w:val="28"/>
                <w:szCs w:val="24"/>
              </w:rPr>
              <w:t>专栏</w:t>
            </w:r>
            <w:r>
              <w:rPr>
                <w:rFonts w:eastAsia="方正小标宋_GBK"/>
                <w:spacing w:val="-8"/>
                <w:sz w:val="28"/>
                <w:szCs w:val="24"/>
              </w:rPr>
              <w:t>7</w:t>
            </w:r>
            <w:r>
              <w:rPr>
                <w:rFonts w:hint="eastAsia" w:eastAsia="方正小标宋_GBK"/>
                <w:spacing w:val="-8"/>
                <w:sz w:val="28"/>
                <w:szCs w:val="24"/>
              </w:rPr>
              <w:t>：质量品牌提升重点工程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3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4" w:firstLineChars="200"/>
              <w:rPr>
                <w:sz w:val="24"/>
                <w:szCs w:val="24"/>
              </w:rPr>
            </w:pPr>
            <w:r>
              <w:rPr>
                <w:rFonts w:hint="eastAsia"/>
                <w:b/>
                <w:bCs/>
                <w:sz w:val="24"/>
                <w:szCs w:val="24"/>
              </w:rPr>
              <w:t>参与制定和完善行业和国家标准。</w:t>
            </w:r>
            <w:r>
              <w:rPr>
                <w:rFonts w:hint="eastAsia"/>
                <w:sz w:val="24"/>
                <w:szCs w:val="24"/>
              </w:rPr>
              <w:t>支持企业制定和完善糯米粉、保温材料、节能环保设备等行业、国家标准，建设国家岩石粘土类非金属矿产品质量检验检测中心、省级家具质量检验检测中心、省级羽绒制品检验检测中心。</w:t>
            </w:r>
          </w:p>
          <w:p>
            <w:pPr>
              <w:spacing w:line="400" w:lineRule="exact"/>
              <w:ind w:firstLine="474" w:firstLineChars="200"/>
              <w:jc w:val="left"/>
              <w:rPr>
                <w:rFonts w:eastAsia="仿宋_GB2312"/>
                <w:b/>
                <w:bCs/>
                <w:sz w:val="24"/>
                <w:szCs w:val="24"/>
              </w:rPr>
            </w:pPr>
            <w:r>
              <w:rPr>
                <w:rFonts w:hint="eastAsia"/>
                <w:b/>
                <w:bCs/>
                <w:sz w:val="24"/>
                <w:szCs w:val="24"/>
              </w:rPr>
              <w:t>品牌创建工程。</w:t>
            </w:r>
            <w:r>
              <w:rPr>
                <w:rFonts w:hint="eastAsia"/>
                <w:sz w:val="24"/>
                <w:szCs w:val="24"/>
              </w:rPr>
              <w:t>支持企业参与中国驰名商标、中国名牌、区域品牌等品牌创建工作。</w:t>
            </w:r>
          </w:p>
        </w:tc>
      </w:tr>
    </w:tbl>
    <w:p>
      <w:pPr>
        <w:pStyle w:val="4"/>
        <w:spacing w:before="0" w:after="0" w:line="580" w:lineRule="exact"/>
        <w:jc w:val="center"/>
        <w:rPr>
          <w:rFonts w:eastAsia="方正仿宋_GBK"/>
        </w:rPr>
      </w:pPr>
      <w:bookmarkStart w:id="55" w:name="_Toc12735"/>
      <w:r>
        <w:rPr>
          <w:rFonts w:hint="eastAsia" w:eastAsia="方正仿宋_GBK"/>
        </w:rPr>
        <w:t>第二节</w:t>
      </w:r>
      <w:r>
        <w:rPr>
          <w:rFonts w:eastAsia="方正仿宋_GBK"/>
        </w:rPr>
        <w:t xml:space="preserve">  </w:t>
      </w:r>
      <w:r>
        <w:rPr>
          <w:rFonts w:hint="eastAsia" w:eastAsia="方正仿宋_GBK"/>
        </w:rPr>
        <w:t>加快发展现代服务业</w:t>
      </w:r>
      <w:bookmarkEnd w:id="51"/>
      <w:bookmarkEnd w:id="52"/>
      <w:bookmarkEnd w:id="53"/>
      <w:bookmarkEnd w:id="55"/>
    </w:p>
    <w:p>
      <w:pPr>
        <w:spacing w:line="580" w:lineRule="exact"/>
        <w:ind w:firstLine="632" w:firstLineChars="200"/>
      </w:pPr>
      <w:r>
        <w:rPr>
          <w:rFonts w:hint="eastAsia"/>
        </w:rPr>
        <w:t>坚持市场需求引领、重点产业带动、服务能力提升，开展加快发展现代服务业行动，大力发展生产性服务业和生活性服务业，提高服务业在三次产业中的占比，全面提升服务业发展水平。</w:t>
      </w:r>
    </w:p>
    <w:p>
      <w:pPr>
        <w:spacing w:line="580" w:lineRule="exact"/>
        <w:ind w:firstLine="634" w:firstLineChars="200"/>
      </w:pPr>
      <w:r>
        <w:rPr>
          <w:rFonts w:hint="eastAsia"/>
          <w:b/>
          <w:bCs/>
        </w:rPr>
        <w:t>大力发展生产性服务业。</w:t>
      </w:r>
      <w:r>
        <w:rPr>
          <w:rFonts w:hint="eastAsia"/>
        </w:rPr>
        <w:t>依托中心城区吸引高端要素集聚，重点发展现代物流、金融服务、研发设计、商务服务、节能环保服务业，构建覆盖城乡的服务网络，打造大别山区域生产性服务业高地。</w:t>
      </w:r>
    </w:p>
    <w:p>
      <w:pPr>
        <w:spacing w:line="580" w:lineRule="exact"/>
        <w:ind w:firstLine="634" w:firstLineChars="200"/>
      </w:pPr>
      <w:r>
        <w:rPr>
          <w:rFonts w:hint="eastAsia"/>
          <w:b/>
          <w:bCs/>
        </w:rPr>
        <w:t>现代物流。</w:t>
      </w:r>
      <w:r>
        <w:rPr>
          <w:rFonts w:hint="eastAsia"/>
        </w:rPr>
        <w:t>坚持完善设施、优化节点、提升服务、协调发展的原则，推动物流业与制造业联动发展。加快发展电子信息、新型建材、现代家居等行业物流和绿色食品等冷链物流，增强区域生产性物流服务功能，推进现代物流业与产业集聚区协调发展。</w:t>
      </w:r>
    </w:p>
    <w:p>
      <w:pPr>
        <w:spacing w:line="580" w:lineRule="exact"/>
        <w:ind w:firstLine="634" w:firstLineChars="200"/>
      </w:pPr>
      <w:r>
        <w:rPr>
          <w:rFonts w:hint="eastAsia"/>
          <w:b/>
          <w:bCs/>
        </w:rPr>
        <w:t>金融业。</w:t>
      </w:r>
      <w:r>
        <w:rPr>
          <w:rFonts w:hint="eastAsia"/>
        </w:rPr>
        <w:t>积极创新金融服务方式，培育新兴金融业态，优化金融生态环境。大力支持和引进银行、证券、保险等金融机构在我市设点，壮大银行、证券、保险主体金融业，鼓励探索符合条件的民间资本发起设立民营银行。引导辖区内银行业金融机构建立多层次、广覆盖、多样化、可持续的普惠金融服务体系，全面提升金融业服务水平。</w:t>
      </w:r>
    </w:p>
    <w:p>
      <w:pPr>
        <w:spacing w:line="580" w:lineRule="exact"/>
        <w:ind w:firstLine="634" w:firstLineChars="200"/>
      </w:pPr>
      <w:r>
        <w:rPr>
          <w:rFonts w:hint="eastAsia"/>
          <w:b/>
          <w:bCs/>
        </w:rPr>
        <w:t>研发设计服务业。</w:t>
      </w:r>
      <w:r>
        <w:rPr>
          <w:rFonts w:hint="eastAsia"/>
        </w:rPr>
        <w:t>大力发展工业设计，培育企业品牌、丰富产品品种、提高附加值。综合利用云计算</w:t>
      </w:r>
      <w:r>
        <w:rPr>
          <w:rStyle w:val="8"/>
          <w:rFonts w:hint="eastAsia"/>
        </w:rPr>
        <w:t>6</w:t>
      </w:r>
      <w:r>
        <w:rPr>
          <w:rFonts w:hint="eastAsia"/>
        </w:rPr>
        <w:t>、大数据</w:t>
      </w:r>
      <w:r>
        <w:rPr>
          <w:rStyle w:val="8"/>
        </w:rPr>
        <w:footnoteReference w:id="5"/>
      </w:r>
      <w:r>
        <w:rPr>
          <w:rFonts w:hint="eastAsia"/>
        </w:rPr>
        <w:t>、物联网</w:t>
      </w:r>
      <w:r>
        <w:rPr>
          <w:rStyle w:val="8"/>
        </w:rPr>
        <w:footnoteReference w:id="6"/>
      </w:r>
      <w:r>
        <w:rPr>
          <w:rFonts w:hint="eastAsia"/>
        </w:rPr>
        <w:t>等互联网技术，加强新材料、新产品、新工艺研发和推广应用。</w:t>
      </w:r>
    </w:p>
    <w:p>
      <w:pPr>
        <w:spacing w:line="580" w:lineRule="exact"/>
        <w:ind w:firstLine="634" w:firstLineChars="200"/>
      </w:pPr>
      <w:r>
        <w:rPr>
          <w:rFonts w:hint="eastAsia"/>
          <w:b/>
          <w:bCs/>
        </w:rPr>
        <w:t>商务服务。</w:t>
      </w:r>
      <w:r>
        <w:rPr>
          <w:rFonts w:hint="eastAsia"/>
        </w:rPr>
        <w:t>围绕服务产业转型升级，依托商务中心区建设，大力发展广告会展、知识产权、法律税务、工程咨询等提升产业发展水平的商务服务，推动商务服务专业化、规模化、网络化发展和诚信建设。重视培育品牌和商誉，加强职业培训和行业自律。</w:t>
      </w:r>
    </w:p>
    <w:p>
      <w:pPr>
        <w:spacing w:line="580" w:lineRule="exact"/>
        <w:ind w:firstLine="634" w:firstLineChars="200"/>
      </w:pPr>
      <w:r>
        <w:rPr>
          <w:rFonts w:hint="eastAsia"/>
          <w:b/>
          <w:bCs/>
        </w:rPr>
        <w:t>节能环保服务。</w:t>
      </w:r>
      <w:r>
        <w:rPr>
          <w:rFonts w:hint="eastAsia"/>
        </w:rPr>
        <w:t>大力开展节能减排投融资、清洁生产审核、节能低碳产品认证、节能评估等第三方节能环保服务。积极推进合同能源管理，探索节能量市场化交易。强化环境污染治理设施的市场化、企业化和专业化运营管理，鼓励推行环境服务总承包、环境治理特许经营和环境污染第三方治理。发展再制造专业技术服务，建立再制造旧件回收、产品营销、溯源等信息化管理系统，建设再生资源回收体系和废弃物逆向物流交易平台。</w:t>
      </w:r>
    </w:p>
    <w:p>
      <w:pPr>
        <w:spacing w:line="580" w:lineRule="exact"/>
        <w:ind w:firstLine="632" w:firstLineChars="200"/>
        <w:rPr>
          <w:rFonts w:eastAsia="仿宋_GB2312"/>
        </w:rPr>
      </w:pPr>
    </w:p>
    <w:tbl>
      <w:tblPr>
        <w:tblStyle w:val="7"/>
        <w:tblW w:w="83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830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
                <w:bCs/>
                <w:spacing w:val="-8"/>
                <w:sz w:val="24"/>
                <w:szCs w:val="24"/>
              </w:rPr>
            </w:pPr>
            <w:r>
              <w:rPr>
                <w:rFonts w:hint="eastAsia" w:eastAsia="方正小标宋_GBK"/>
                <w:spacing w:val="-8"/>
                <w:sz w:val="28"/>
                <w:szCs w:val="24"/>
              </w:rPr>
              <w:t>专栏</w:t>
            </w:r>
            <w:r>
              <w:rPr>
                <w:rFonts w:eastAsia="方正小标宋_GBK"/>
                <w:spacing w:val="-8"/>
                <w:sz w:val="28"/>
                <w:szCs w:val="24"/>
              </w:rPr>
              <w:t>8</w:t>
            </w:r>
            <w:r>
              <w:rPr>
                <w:rFonts w:hint="eastAsia" w:eastAsia="方正小标宋_GBK"/>
                <w:spacing w:val="-8"/>
                <w:sz w:val="28"/>
                <w:szCs w:val="24"/>
              </w:rPr>
              <w:t>：生产性服务业发展重点</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83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4" w:firstLineChars="200"/>
              <w:rPr>
                <w:sz w:val="24"/>
                <w:szCs w:val="24"/>
              </w:rPr>
            </w:pPr>
            <w:r>
              <w:rPr>
                <w:rFonts w:hint="eastAsia"/>
                <w:b/>
                <w:bCs/>
                <w:sz w:val="24"/>
                <w:szCs w:val="24"/>
              </w:rPr>
              <w:t>现代物流业</w:t>
            </w:r>
            <w:r>
              <w:rPr>
                <w:rFonts w:hint="eastAsia"/>
                <w:sz w:val="24"/>
                <w:szCs w:val="24"/>
              </w:rPr>
              <w:t>。建设全省重要的物流枢纽和辐射全国的区域性物流枢纽城市。推进物流和电子商务融合发展，加强电商人才培训，使信阳成为全国有重要影响力的电商物流组织中心。大力发展专业物流园区、分拨中心和配送网络，建成</w:t>
            </w:r>
            <w:r>
              <w:rPr>
                <w:sz w:val="24"/>
                <w:szCs w:val="24"/>
              </w:rPr>
              <w:t>2-3</w:t>
            </w:r>
            <w:r>
              <w:rPr>
                <w:rFonts w:hint="eastAsia"/>
                <w:sz w:val="24"/>
                <w:szCs w:val="24"/>
              </w:rPr>
              <w:t>家省级示范物流园区、</w:t>
            </w:r>
            <w:r>
              <w:rPr>
                <w:sz w:val="24"/>
                <w:szCs w:val="24"/>
              </w:rPr>
              <w:t>10</w:t>
            </w:r>
            <w:r>
              <w:rPr>
                <w:rFonts w:hint="eastAsia"/>
                <w:sz w:val="24"/>
                <w:szCs w:val="24"/>
              </w:rPr>
              <w:t>座城市配送中心。到</w:t>
            </w:r>
            <w:r>
              <w:rPr>
                <w:sz w:val="24"/>
                <w:szCs w:val="24"/>
              </w:rPr>
              <w:t>2020</w:t>
            </w:r>
            <w:r>
              <w:rPr>
                <w:rFonts w:hint="eastAsia"/>
                <w:sz w:val="24"/>
                <w:szCs w:val="24"/>
              </w:rPr>
              <w:t>年物流业增加值突破</w:t>
            </w:r>
            <w:r>
              <w:rPr>
                <w:sz w:val="24"/>
                <w:szCs w:val="24"/>
              </w:rPr>
              <w:t>300</w:t>
            </w:r>
            <w:r>
              <w:rPr>
                <w:rFonts w:hint="eastAsia"/>
                <w:sz w:val="24"/>
                <w:szCs w:val="24"/>
              </w:rPr>
              <w:t>亿元。</w:t>
            </w:r>
          </w:p>
          <w:p>
            <w:pPr>
              <w:spacing w:line="400" w:lineRule="exact"/>
              <w:ind w:firstLine="474" w:firstLineChars="200"/>
              <w:rPr>
                <w:sz w:val="24"/>
                <w:szCs w:val="24"/>
              </w:rPr>
            </w:pPr>
            <w:r>
              <w:rPr>
                <w:rFonts w:hint="eastAsia"/>
                <w:b/>
                <w:bCs/>
                <w:sz w:val="24"/>
                <w:szCs w:val="24"/>
              </w:rPr>
              <w:t>金融业。</w:t>
            </w:r>
            <w:r>
              <w:rPr>
                <w:rFonts w:hint="eastAsia"/>
                <w:sz w:val="24"/>
                <w:szCs w:val="24"/>
              </w:rPr>
              <w:t>推进重点融资平台建设，推进区域性股权交易市场建设，完善小额贷款公司、担保公司服务功能，增强中小企业网络融资平台。拓宽企业融资渠道，支持符合条件的企业在主板、中小板、创业板、新三板等境内外市场上市或挂牌，支持上市企业开展多种形式的并购重组再融资。健全金融服务体系，鼓励金融企业创新金融产品。</w:t>
            </w:r>
          </w:p>
          <w:p>
            <w:pPr>
              <w:spacing w:line="400" w:lineRule="exact"/>
              <w:ind w:firstLine="474" w:firstLineChars="200"/>
              <w:rPr>
                <w:sz w:val="24"/>
                <w:szCs w:val="24"/>
              </w:rPr>
            </w:pPr>
            <w:r>
              <w:rPr>
                <w:rFonts w:hint="eastAsia"/>
                <w:b/>
                <w:bCs/>
                <w:sz w:val="24"/>
                <w:szCs w:val="24"/>
              </w:rPr>
              <w:t>研发设计服务业。</w:t>
            </w:r>
            <w:r>
              <w:rPr>
                <w:rFonts w:hint="eastAsia"/>
                <w:sz w:val="24"/>
                <w:szCs w:val="24"/>
              </w:rPr>
              <w:t>整合企业、高校、研究机构资源</w:t>
            </w:r>
            <w:r>
              <w:rPr>
                <w:sz w:val="24"/>
                <w:szCs w:val="24"/>
              </w:rPr>
              <w:t>,</w:t>
            </w:r>
            <w:r>
              <w:rPr>
                <w:rFonts w:hint="eastAsia"/>
                <w:sz w:val="24"/>
                <w:szCs w:val="24"/>
              </w:rPr>
              <w:t>强化企业创新主体作用</w:t>
            </w:r>
            <w:r>
              <w:rPr>
                <w:sz w:val="24"/>
                <w:szCs w:val="24"/>
              </w:rPr>
              <w:t>,</w:t>
            </w:r>
            <w:r>
              <w:rPr>
                <w:rFonts w:hint="eastAsia"/>
                <w:sz w:val="24"/>
                <w:szCs w:val="24"/>
              </w:rPr>
              <w:t>推进产学研用合作</w:t>
            </w:r>
            <w:r>
              <w:rPr>
                <w:sz w:val="24"/>
                <w:szCs w:val="24"/>
              </w:rPr>
              <w:t>,</w:t>
            </w:r>
            <w:r>
              <w:rPr>
                <w:rFonts w:hint="eastAsia"/>
                <w:sz w:val="24"/>
                <w:szCs w:val="24"/>
              </w:rPr>
              <w:t>建立产业技术研究院、产业协同创新中心等新型研发机构。支持开展产业联盟协同创新</w:t>
            </w:r>
            <w:r>
              <w:rPr>
                <w:sz w:val="24"/>
                <w:szCs w:val="24"/>
              </w:rPr>
              <w:t>,</w:t>
            </w:r>
            <w:r>
              <w:rPr>
                <w:rFonts w:hint="eastAsia"/>
                <w:sz w:val="24"/>
                <w:szCs w:val="24"/>
              </w:rPr>
              <w:t>面向产业集群开展共性技术研发。完善知识产权交易和中介服务体系，建立主要由市场评价创新成果的机制，加快软件开发、研发设计创新成果转化。</w:t>
            </w:r>
          </w:p>
          <w:p>
            <w:pPr>
              <w:spacing w:line="400" w:lineRule="exact"/>
              <w:ind w:firstLine="474" w:firstLineChars="200"/>
              <w:rPr>
                <w:sz w:val="24"/>
                <w:szCs w:val="24"/>
              </w:rPr>
            </w:pPr>
            <w:r>
              <w:rPr>
                <w:rFonts w:hint="eastAsia"/>
                <w:b/>
                <w:bCs/>
                <w:sz w:val="24"/>
                <w:szCs w:val="24"/>
              </w:rPr>
              <w:t>商务服务业。</w:t>
            </w:r>
            <w:r>
              <w:rPr>
                <w:rFonts w:hint="eastAsia"/>
                <w:sz w:val="24"/>
                <w:szCs w:val="24"/>
              </w:rPr>
              <w:t>推动服务业上下游产业链开放延伸、左右关联配套，引导商务咨询、特许经营、会展服务、知识产权服务等业态快速发展。加快推进商务服务业的现代化和区域化，构建商务流通服务体系，促进生产与流通有机融合。支持生产企业从产品制造向“产品</w:t>
            </w:r>
            <w:r>
              <w:rPr>
                <w:sz w:val="24"/>
                <w:szCs w:val="24"/>
              </w:rPr>
              <w:t>+</w:t>
            </w:r>
            <w:r>
              <w:rPr>
                <w:rFonts w:hint="eastAsia"/>
                <w:sz w:val="24"/>
                <w:szCs w:val="24"/>
              </w:rPr>
              <w:t>服务</w:t>
            </w:r>
            <w:r>
              <w:rPr>
                <w:sz w:val="24"/>
                <w:szCs w:val="24"/>
              </w:rPr>
              <w:t>+</w:t>
            </w:r>
            <w:r>
              <w:rPr>
                <w:rFonts w:hint="eastAsia"/>
                <w:sz w:val="24"/>
                <w:szCs w:val="24"/>
              </w:rPr>
              <w:t>连锁”的后端延伸，减少流通环节，扩大市场覆盖，提升产品价值。加快建设一批大型专业市场或特色商务项目，使其成为工业原料供应、商品流通分销的重要媒介，不断拓展市场，增强自主接单能力。积极创建鄂豫皖区域性会展中心。</w:t>
            </w:r>
          </w:p>
          <w:p>
            <w:pPr>
              <w:spacing w:line="400" w:lineRule="exact"/>
              <w:ind w:firstLine="474" w:firstLineChars="200"/>
              <w:rPr>
                <w:rFonts w:eastAsia="仿宋_GB2312"/>
                <w:b/>
                <w:bCs/>
                <w:spacing w:val="-8"/>
                <w:sz w:val="24"/>
                <w:szCs w:val="24"/>
              </w:rPr>
            </w:pPr>
            <w:r>
              <w:rPr>
                <w:rFonts w:hint="eastAsia"/>
                <w:b/>
                <w:bCs/>
                <w:sz w:val="24"/>
                <w:szCs w:val="24"/>
              </w:rPr>
              <w:t>节能环保服务业。</w:t>
            </w:r>
            <w:r>
              <w:rPr>
                <w:rFonts w:hint="eastAsia"/>
                <w:sz w:val="24"/>
                <w:szCs w:val="24"/>
              </w:rPr>
              <w:t>重点发展工业废水、废气、固体废物治理设备的特许权经营和社会化管理。加快发展生态环境修复、环境风险与损害评价、排污权交易、绿色认证、环境污染责任保险等新兴环保服务业。支持第三方节能环保机构发展。推行环境污染第三方治理和第三方监测，大力发展系统设计、成套设备、工程施工、调试运行和维护管理等环保服务总承包。构建区域性再生资源集散市场、再生资源回收体系及废弃物分类回收体系。</w:t>
            </w:r>
          </w:p>
        </w:tc>
      </w:tr>
    </w:tbl>
    <w:p>
      <w:pPr>
        <w:spacing w:line="580" w:lineRule="exact"/>
        <w:ind w:firstLine="634" w:firstLineChars="200"/>
      </w:pPr>
      <w:r>
        <w:rPr>
          <w:rFonts w:hint="eastAsia"/>
          <w:b/>
          <w:bCs/>
        </w:rPr>
        <w:t>积极发展生活性服务业。</w:t>
      </w:r>
      <w:r>
        <w:rPr>
          <w:rFonts w:hint="eastAsia"/>
        </w:rPr>
        <w:t>鼓励探索创新，营造包容氛围，推动生活性服务业在融合中发展、在发展中规范，增加服务供给，丰富服务种类，提高发展水平，重点发展旅游、健康养生、教育培训、餐饮住宿、房地产等服务业，建设大别山区域特色消费中心。</w:t>
      </w:r>
    </w:p>
    <w:p>
      <w:pPr>
        <w:spacing w:line="580" w:lineRule="exact"/>
        <w:ind w:firstLine="634" w:firstLineChars="200"/>
      </w:pPr>
      <w:r>
        <w:rPr>
          <w:rFonts w:hint="eastAsia"/>
          <w:b/>
          <w:bCs/>
        </w:rPr>
        <w:t>旅游。</w:t>
      </w:r>
      <w:r>
        <w:rPr>
          <w:rFonts w:hint="eastAsia"/>
        </w:rPr>
        <w:t>围绕“大别山、淮河水、毛尖茶、南湾鱼”四大品牌，树立全域旅游理念，高起点规划发展旅游业，推动建设大别山无障碍旅游区，推进实施旅游景点一证游、联票游，打造智慧旅游景区。以生态旅游观光、休闲度假、宗教文化和红色教育为支撑，大力培育城市旅游、低空旅游、徒步旅游、自驾车房车休闲露营地、体育康体旅游等新业态。积极构建“一核三带”总体空间布局，塑造“山水茶乡、生态信阳”总体旅游形象，打造精品景区，开发特色旅游商品和线路，着力打造国际山地休闲度假目的地、全国知名的红色旅游胜地。</w:t>
      </w:r>
    </w:p>
    <w:p>
      <w:pPr>
        <w:spacing w:line="580" w:lineRule="exact"/>
        <w:ind w:firstLine="634" w:firstLineChars="200"/>
      </w:pPr>
      <w:r>
        <w:rPr>
          <w:rFonts w:hint="eastAsia"/>
          <w:b/>
          <w:bCs/>
        </w:rPr>
        <w:t>健康养生。</w:t>
      </w:r>
      <w:r>
        <w:rPr>
          <w:rFonts w:hint="eastAsia"/>
        </w:rPr>
        <w:t>鼓励发展健康体检、健康咨询、健康文化、健康旅游、体育健身等多样化健康服务。提升体育产业，树立生态体育发展理念，壮大提升体育旅游、竞技表演等体育服务业，打造一批全国性、区域性体育赛事，把信阳建设成“户外运动天堂，休闲养生福地”。设立专项引导资金鼓励社会力量采取多种模式兴办养生、养老产业基地，建设一批疗养院、护理院，实行市场化、专业化、社会化的运营模式，大力发展体验度假、健康理疗。</w:t>
      </w:r>
    </w:p>
    <w:p>
      <w:pPr>
        <w:widowControl/>
        <w:spacing w:line="580" w:lineRule="exact"/>
        <w:ind w:firstLine="634" w:firstLineChars="200"/>
      </w:pPr>
      <w:r>
        <w:rPr>
          <w:rFonts w:hint="eastAsia"/>
          <w:b/>
          <w:bCs/>
        </w:rPr>
        <w:t>教育培训。</w:t>
      </w:r>
      <w:r>
        <w:rPr>
          <w:rFonts w:hint="eastAsia"/>
        </w:rPr>
        <w:t>以提升生活性服务质量为核心，广泛开展城乡社区教育，为社区居民提供人文艺术、职业技能等方面的教育服务；逐步形成政府引导、以职业院校和各类培训机构为主体、企业全面参与的现代职业教育体系和终身职业培训体系。</w:t>
      </w:r>
    </w:p>
    <w:p>
      <w:pPr>
        <w:widowControl/>
        <w:spacing w:line="580" w:lineRule="exact"/>
        <w:ind w:firstLine="634" w:firstLineChars="200"/>
      </w:pPr>
      <w:r>
        <w:rPr>
          <w:rFonts w:hint="eastAsia"/>
          <w:b/>
          <w:bCs/>
        </w:rPr>
        <w:t>餐饮住宿。</w:t>
      </w:r>
      <w:r>
        <w:rPr>
          <w:rFonts w:hint="eastAsia"/>
        </w:rPr>
        <w:t>强化服务民生的基本功能，形成以大众化市场为主体、适应多层次多样化消费需求的餐饮住宿业发展新格局。大力推进餐饮住宿业连锁化、品牌化发展，提高餐饮住宿服务的文化品味和绿色安全保障水平。提升“信阳茶”、“信阳菜”知名度和美誉度，大力推进“信阳菜”的文化挖掘、资源整合、标准制定、营销推广、产业升级，推介一批具有信阳地方特色的名吃，积极争创中国美食名城。</w:t>
      </w:r>
    </w:p>
    <w:p>
      <w:pPr>
        <w:widowControl/>
        <w:spacing w:line="580" w:lineRule="exact"/>
        <w:ind w:firstLine="634" w:firstLineChars="200"/>
      </w:pPr>
      <w:r>
        <w:rPr>
          <w:rFonts w:hint="eastAsia"/>
          <w:b/>
          <w:bCs/>
        </w:rPr>
        <w:t>房地产。</w:t>
      </w:r>
      <w:r>
        <w:rPr>
          <w:rFonts w:hint="eastAsia"/>
        </w:rPr>
        <w:t>调整商品房供应结构，完善住房保障体系，保持房地产业平稳健康发展。探索农民工进城与房地产去库存协调、联动发展新模式，选择部分移民搬迁区域和自愿退出宅基地的农民在城区购房给予适当补助。</w:t>
      </w:r>
    </w:p>
    <w:tbl>
      <w:tblPr>
        <w:tblStyle w:val="7"/>
        <w:tblW w:w="82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82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小标宋_GBK"/>
                <w:sz w:val="28"/>
                <w:szCs w:val="24"/>
              </w:rPr>
            </w:pPr>
            <w:r>
              <w:rPr>
                <w:rFonts w:hint="eastAsia" w:eastAsia="方正小标宋_GBK"/>
                <w:spacing w:val="-8"/>
                <w:sz w:val="28"/>
                <w:szCs w:val="24"/>
              </w:rPr>
              <w:t>专栏</w:t>
            </w:r>
            <w:r>
              <w:rPr>
                <w:rFonts w:eastAsia="方正小标宋_GBK"/>
                <w:spacing w:val="-8"/>
                <w:sz w:val="28"/>
                <w:szCs w:val="24"/>
              </w:rPr>
              <w:t>9</w:t>
            </w:r>
            <w:r>
              <w:rPr>
                <w:rFonts w:hint="eastAsia" w:eastAsia="方正小标宋_GBK"/>
                <w:spacing w:val="-8"/>
                <w:sz w:val="28"/>
                <w:szCs w:val="24"/>
              </w:rPr>
              <w:t>：生活性服务业发展重点</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8282"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旅游业。</w:t>
            </w:r>
            <w:r>
              <w:rPr>
                <w:rFonts w:hint="eastAsia"/>
                <w:sz w:val="24"/>
                <w:szCs w:val="24"/>
              </w:rPr>
              <w:t>一核，坚持城旅一体，打造全市旅游服务中心。三带，鸡公山</w:t>
            </w:r>
            <w:r>
              <w:rPr>
                <w:sz w:val="24"/>
                <w:szCs w:val="24"/>
              </w:rPr>
              <w:t>-</w:t>
            </w:r>
            <w:r>
              <w:rPr>
                <w:rFonts w:hint="eastAsia"/>
                <w:sz w:val="24"/>
                <w:szCs w:val="24"/>
              </w:rPr>
              <w:t>南湾湖</w:t>
            </w:r>
            <w:r>
              <w:rPr>
                <w:sz w:val="24"/>
                <w:szCs w:val="24"/>
              </w:rPr>
              <w:t>-</w:t>
            </w:r>
            <w:r>
              <w:rPr>
                <w:rFonts w:hint="eastAsia"/>
                <w:sz w:val="24"/>
                <w:szCs w:val="24"/>
              </w:rPr>
              <w:t>灵山黄金旅游带，大力支持鸡公山</w:t>
            </w:r>
            <w:r>
              <w:rPr>
                <w:sz w:val="24"/>
                <w:szCs w:val="24"/>
              </w:rPr>
              <w:t>-</w:t>
            </w:r>
            <w:r>
              <w:rPr>
                <w:rFonts w:hint="eastAsia"/>
                <w:sz w:val="24"/>
                <w:szCs w:val="24"/>
              </w:rPr>
              <w:t>灵山创建国家</w:t>
            </w:r>
            <w:r>
              <w:rPr>
                <w:sz w:val="24"/>
                <w:szCs w:val="24"/>
              </w:rPr>
              <w:t>5A</w:t>
            </w:r>
            <w:r>
              <w:rPr>
                <w:rFonts w:hint="eastAsia"/>
                <w:sz w:val="24"/>
                <w:szCs w:val="24"/>
              </w:rPr>
              <w:t>级旅游景区、南湾湖创建国家生态旅游示范区，积极推进鸡公山“一园十三景”、南湾湖环湖国际自行车赛道、南湾湖</w:t>
            </w:r>
            <w:r>
              <w:rPr>
                <w:sz w:val="24"/>
                <w:szCs w:val="24"/>
              </w:rPr>
              <w:t>-</w:t>
            </w:r>
            <w:r>
              <w:rPr>
                <w:rFonts w:hint="eastAsia"/>
                <w:sz w:val="24"/>
                <w:szCs w:val="24"/>
              </w:rPr>
              <w:t>鸡公山</w:t>
            </w:r>
            <w:r>
              <w:rPr>
                <w:sz w:val="24"/>
                <w:szCs w:val="24"/>
              </w:rPr>
              <w:t>-</w:t>
            </w:r>
            <w:r>
              <w:rPr>
                <w:rFonts w:hint="eastAsia"/>
                <w:sz w:val="24"/>
                <w:szCs w:val="24"/>
              </w:rPr>
              <w:t>灵山</w:t>
            </w:r>
            <w:r>
              <w:rPr>
                <w:sz w:val="24"/>
                <w:szCs w:val="24"/>
              </w:rPr>
              <w:t>-</w:t>
            </w:r>
            <w:r>
              <w:rPr>
                <w:rFonts w:hint="eastAsia"/>
                <w:sz w:val="24"/>
                <w:szCs w:val="24"/>
              </w:rPr>
              <w:t>何家冲循环旅游公路等项目建设；大别山旅游带，依托商城县、新县、浉河、罗山县、光山县丰富的红绿旅游资源，推进黄柏山、金兰山、天目山、四望山、王大湾会议会址等综合保护和开发，强力打造“红绿大别山”旅游带；淮河历史文化旅游带，推进淮滨县走读淮河项目、平桥城阳城遗址项目、息县古赖国文化园项目建设，积极申报黄国故城“国家大遗址公园”，深入挖掘、全面展示中国淮河历史文化内涵，全力建设以历史文化、根亲文化、宗教文化等为主题的淮河文化旅游带。</w:t>
            </w:r>
          </w:p>
          <w:p>
            <w:pPr>
              <w:widowControl/>
              <w:spacing w:line="400" w:lineRule="exact"/>
              <w:ind w:firstLine="634" w:firstLineChars="200"/>
            </w:pPr>
            <w:r>
              <w:rPr>
                <w:rFonts w:hint="eastAsia"/>
                <w:b/>
                <w:bCs/>
              </w:rPr>
              <w:t>健康养生业。</w:t>
            </w:r>
            <w:r>
              <w:rPr>
                <w:rFonts w:hint="eastAsia"/>
              </w:rPr>
              <w:t>积极发展医疗卫生保健、健康管理、健康保险等基础服务，扩大康复护理、家庭护理等紧缺型服务规模，鼓励发展营养保健指导、健身美容等非医疗性健康服务。培育一批符合市场规律、具有竞争力的体育产业基地。</w:t>
            </w:r>
          </w:p>
          <w:p>
            <w:pPr>
              <w:widowControl/>
              <w:spacing w:line="400" w:lineRule="exact"/>
              <w:ind w:firstLine="634" w:firstLineChars="200"/>
            </w:pPr>
            <w:r>
              <w:rPr>
                <w:rFonts w:hint="eastAsia"/>
                <w:b/>
                <w:bCs/>
              </w:rPr>
              <w:t>教育培训业。</w:t>
            </w:r>
            <w:r>
              <w:rPr>
                <w:rFonts w:hint="eastAsia"/>
              </w:rPr>
              <w:t>鼓励社会资本进入教育培训市场，发展家政服务、建筑装修等涉外技术培训，音乐、美术、舞蹈等兴趣爱好培训，电商培训、航空服务、厨师培训、医疗护理等职业教育，形成一批有影响力的教育培训基地。加大对涉外劳务培训的支持力度。</w:t>
            </w:r>
          </w:p>
          <w:p>
            <w:pPr>
              <w:widowControl/>
              <w:spacing w:line="400" w:lineRule="exact"/>
              <w:ind w:firstLine="634" w:firstLineChars="200"/>
            </w:pPr>
            <w:r>
              <w:rPr>
                <w:rFonts w:hint="eastAsia"/>
                <w:b/>
                <w:bCs/>
              </w:rPr>
              <w:t>餐饮住宿业。</w:t>
            </w:r>
            <w:r>
              <w:rPr>
                <w:rFonts w:hint="eastAsia"/>
              </w:rPr>
              <w:t>重点打造“信阳菜全席”和“信阳菜药膳”餐饮品牌，不断推动“信阳菜”走品牌化、标准化、产业化发展道路。积极发展绿色酒店、主题酒店、客栈民宿、快餐团餐、农家乐等细分业态，建设发展中央厨房、电子商务平台、食品安全体系等配套设施。</w:t>
            </w:r>
          </w:p>
          <w:p>
            <w:pPr>
              <w:spacing w:line="400" w:lineRule="exact"/>
              <w:ind w:firstLine="474" w:firstLineChars="200"/>
              <w:rPr>
                <w:rFonts w:eastAsia="仿宋_GB2312"/>
                <w:sz w:val="24"/>
                <w:szCs w:val="24"/>
              </w:rPr>
            </w:pPr>
            <w:r>
              <w:rPr>
                <w:rFonts w:hint="eastAsia"/>
                <w:b/>
                <w:bCs/>
                <w:sz w:val="24"/>
                <w:szCs w:val="24"/>
              </w:rPr>
              <w:t>房地产业。</w:t>
            </w:r>
            <w:r>
              <w:rPr>
                <w:rFonts w:hint="eastAsia"/>
                <w:sz w:val="24"/>
                <w:szCs w:val="24"/>
              </w:rPr>
              <w:t>推进商品住宅健康发展，壮大商业地产、文化旅游地产、健康养生地产等新兴业态，规范装修装饰、中介交易、物业管理等服务。</w:t>
            </w:r>
          </w:p>
        </w:tc>
      </w:tr>
    </w:tbl>
    <w:p>
      <w:pPr>
        <w:pStyle w:val="4"/>
        <w:spacing w:before="0" w:after="0" w:line="580" w:lineRule="exact"/>
        <w:jc w:val="center"/>
        <w:rPr>
          <w:rFonts w:eastAsia="方正仿宋_GBK"/>
        </w:rPr>
      </w:pPr>
      <w:bookmarkStart w:id="56" w:name="_Toc440292077"/>
      <w:bookmarkStart w:id="57" w:name="_Toc17152"/>
      <w:bookmarkStart w:id="58" w:name="_Toc440730876"/>
      <w:bookmarkStart w:id="59" w:name="_Toc31633"/>
      <w:r>
        <w:rPr>
          <w:rFonts w:hint="eastAsia" w:eastAsia="方正仿宋_GBK"/>
        </w:rPr>
        <w:t>第三节</w:t>
      </w:r>
      <w:r>
        <w:rPr>
          <w:rFonts w:eastAsia="方正仿宋_GBK"/>
        </w:rPr>
        <w:t xml:space="preserve">  </w:t>
      </w:r>
      <w:bookmarkEnd w:id="54"/>
      <w:bookmarkEnd w:id="56"/>
      <w:r>
        <w:rPr>
          <w:rFonts w:hint="eastAsia" w:eastAsia="方正仿宋_GBK"/>
        </w:rPr>
        <w:t>加快发展现代农业</w:t>
      </w:r>
      <w:bookmarkEnd w:id="57"/>
      <w:bookmarkEnd w:id="58"/>
      <w:bookmarkEnd w:id="59"/>
    </w:p>
    <w:p>
      <w:pPr>
        <w:spacing w:line="580" w:lineRule="exact"/>
        <w:ind w:firstLine="632" w:firstLineChars="200"/>
        <w:rPr>
          <w:b/>
          <w:bCs/>
        </w:rPr>
      </w:pPr>
      <w:r>
        <w:rPr>
          <w:rFonts w:hint="eastAsia"/>
        </w:rPr>
        <w:t>持续抓好高标准粮田“百千万”建设工程、现代农业产业化集群培育工程、都市生态农业发展工程，推动农林牧渔结合、种养加一体、农村一二三产业融合发展，积极构建现代农业支撑体系，努力走出一条生产技术先进、经营规模适度、市场竞争力强、生态环境可持续的农业现代化道路，加快推进农业现代化进程。</w:t>
      </w:r>
    </w:p>
    <w:p>
      <w:pPr>
        <w:spacing w:line="580" w:lineRule="exact"/>
        <w:ind w:firstLine="634" w:firstLineChars="200"/>
      </w:pPr>
      <w:r>
        <w:rPr>
          <w:rFonts w:hint="eastAsia"/>
          <w:b/>
          <w:bCs/>
        </w:rPr>
        <w:t>持续抓好高标准粮田“百千万”建设工程</w:t>
      </w:r>
      <w:r>
        <w:rPr>
          <w:rStyle w:val="8"/>
        </w:rPr>
        <w:footnoteReference w:id="7"/>
      </w:r>
      <w:r>
        <w:rPr>
          <w:rFonts w:hint="eastAsia"/>
          <w:b/>
          <w:bCs/>
        </w:rPr>
        <w:t>。</w:t>
      </w:r>
      <w:r>
        <w:rPr>
          <w:rFonts w:hint="eastAsia"/>
          <w:kern w:val="0"/>
        </w:rPr>
        <w:t>大力推进农田基础设施、土地整治、小农水重点县等项目建设，统筹推进农业机械化、农业科技创新和农业技术服务体系建设，争取建成</w:t>
      </w:r>
      <w:r>
        <w:rPr>
          <w:kern w:val="0"/>
        </w:rPr>
        <w:t>3</w:t>
      </w:r>
      <w:r>
        <w:rPr>
          <w:rFonts w:hint="eastAsia"/>
          <w:kern w:val="0"/>
        </w:rPr>
        <w:t>个国家级高标准基本农田建设示范县和</w:t>
      </w:r>
      <w:r>
        <w:rPr>
          <w:kern w:val="0"/>
        </w:rPr>
        <w:t>2</w:t>
      </w:r>
      <w:r>
        <w:rPr>
          <w:rFonts w:hint="eastAsia"/>
          <w:kern w:val="0"/>
        </w:rPr>
        <w:t>个省级高标准良田示范方。实施最严格的耕地保护制度。</w:t>
      </w:r>
      <w:r>
        <w:rPr>
          <w:rFonts w:hint="eastAsia"/>
        </w:rPr>
        <w:t>落实藏粮于地、藏粮于技战略</w:t>
      </w:r>
      <w:r>
        <w:rPr>
          <w:rStyle w:val="8"/>
        </w:rPr>
        <w:footnoteReference w:id="8"/>
      </w:r>
      <w:r>
        <w:rPr>
          <w:rFonts w:hint="eastAsia"/>
        </w:rPr>
        <w:t>，探索土地轮作休耕制度</w:t>
      </w:r>
      <w:r>
        <w:rPr>
          <w:rStyle w:val="8"/>
        </w:rPr>
        <w:footnoteReference w:id="9"/>
      </w:r>
      <w:r>
        <w:rPr>
          <w:rFonts w:hint="eastAsia"/>
        </w:rPr>
        <w:t>。</w:t>
      </w:r>
      <w:r>
        <w:rPr>
          <w:rFonts w:hint="eastAsia"/>
          <w:kern w:val="0"/>
        </w:rPr>
        <w:t>积极实施耕地质量保护与提升行动，加强公用设施维护和统一管理</w:t>
      </w:r>
      <w:r>
        <w:rPr>
          <w:rFonts w:hint="eastAsia"/>
        </w:rPr>
        <w:t>。</w:t>
      </w:r>
    </w:p>
    <w:p>
      <w:pPr>
        <w:spacing w:line="580" w:lineRule="exact"/>
        <w:ind w:firstLine="634" w:firstLineChars="200"/>
        <w:rPr>
          <w:rFonts w:eastAsia="仿宋_GB2312"/>
        </w:rPr>
      </w:pPr>
      <w:r>
        <w:rPr>
          <w:rFonts w:hint="eastAsia"/>
          <w:b/>
          <w:bCs/>
        </w:rPr>
        <w:t>持续抓好现代农业产业化集群培育工程。</w:t>
      </w:r>
      <w:r>
        <w:rPr>
          <w:rFonts w:hint="eastAsia"/>
          <w:kern w:val="0"/>
        </w:rPr>
        <w:t>推广龙头企业主导、中小企业集群发展、合作组织、家庭农场和种养大户联动发展的农业经营模式，提高农民组织化程度。培育引进一批农业产业化龙头企业，不断扩大企业的数量和规模，促进市级重点龙头企业向省级重点龙头企业、国家级重点龙头企业升级。扶持各类龙头企业拉长产业链条，提高增值加工水平，培育名牌产品，增强带动能力。积极申报创建国家现代农业示范区，打造信阳茶产业集群示范区。力争到</w:t>
      </w:r>
      <w:r>
        <w:rPr>
          <w:kern w:val="0"/>
        </w:rPr>
        <w:t>2020</w:t>
      </w:r>
      <w:r>
        <w:rPr>
          <w:rFonts w:hint="eastAsia"/>
          <w:kern w:val="0"/>
        </w:rPr>
        <w:t>年建成绿色食品、粮油、</w:t>
      </w:r>
      <w:r>
        <w:rPr>
          <w:rFonts w:hint="eastAsia"/>
        </w:rPr>
        <w:t>畜牧、果蔬、茶叶、油茶、水产、药材等</w:t>
      </w:r>
      <w:r>
        <w:t>50</w:t>
      </w:r>
      <w:r>
        <w:rPr>
          <w:rFonts w:hint="eastAsia"/>
        </w:rPr>
        <w:t>个左右产业集群，全市农业产业化集群年销售收入突破</w:t>
      </w:r>
      <w:r>
        <w:t>1000</w:t>
      </w:r>
      <w:r>
        <w:rPr>
          <w:rFonts w:hint="eastAsia"/>
        </w:rPr>
        <w:t>亿元。</w:t>
      </w:r>
    </w:p>
    <w:tbl>
      <w:tblPr>
        <w:tblStyle w:val="7"/>
        <w:tblW w:w="83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83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方正小标宋_GBK"/>
                <w:sz w:val="28"/>
                <w:szCs w:val="24"/>
              </w:rPr>
            </w:pPr>
            <w:r>
              <w:rPr>
                <w:rFonts w:hint="eastAsia" w:eastAsia="方正小标宋_GBK"/>
                <w:spacing w:val="-8"/>
                <w:sz w:val="28"/>
                <w:szCs w:val="24"/>
              </w:rPr>
              <w:t>专栏</w:t>
            </w:r>
            <w:r>
              <w:rPr>
                <w:rFonts w:eastAsia="方正小标宋_GBK"/>
                <w:spacing w:val="-8"/>
                <w:sz w:val="28"/>
                <w:szCs w:val="24"/>
              </w:rPr>
              <w:t>10</w:t>
            </w:r>
            <w:r>
              <w:rPr>
                <w:rFonts w:hint="eastAsia" w:eastAsia="方正小标宋_GBK"/>
                <w:spacing w:val="-8"/>
                <w:sz w:val="28"/>
                <w:szCs w:val="24"/>
              </w:rPr>
              <w:t>：</w:t>
            </w:r>
            <w:r>
              <w:rPr>
                <w:rFonts w:hint="eastAsia" w:eastAsia="方正小标宋_GBK"/>
                <w:sz w:val="28"/>
                <w:szCs w:val="24"/>
              </w:rPr>
              <w:t>现代农业产业化集群培育工程</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6" w:hRule="atLeast"/>
        </w:trPr>
        <w:tc>
          <w:tcPr>
            <w:tcW w:w="8325"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优质稻米、弱筋面制品产业化集群。</w:t>
            </w:r>
            <w:r>
              <w:rPr>
                <w:rFonts w:hint="eastAsia"/>
                <w:sz w:val="24"/>
                <w:szCs w:val="24"/>
              </w:rPr>
              <w:t>建设优质稻米和弱筋小麦生产基地，发展优质大米、米线、糯米粉等米制品和糕点粉、饼干、挂面等面制品食品加工业，开发米糠油、米糠多糖、稻壳可降解餐盒等米制品相关产业，研究开发大米加工设备，深度延伸稻米产业链条。</w:t>
            </w:r>
          </w:p>
          <w:p>
            <w:pPr>
              <w:spacing w:line="400" w:lineRule="exact"/>
              <w:ind w:firstLine="474" w:firstLineChars="200"/>
              <w:rPr>
                <w:sz w:val="24"/>
                <w:szCs w:val="24"/>
              </w:rPr>
            </w:pPr>
            <w:r>
              <w:rPr>
                <w:rFonts w:hint="eastAsia"/>
                <w:b/>
                <w:bCs/>
                <w:sz w:val="24"/>
                <w:szCs w:val="24"/>
              </w:rPr>
              <w:t>畜禽、水产品产业化集群。</w:t>
            </w:r>
            <w:r>
              <w:rPr>
                <w:rFonts w:hint="eastAsia"/>
                <w:sz w:val="24"/>
                <w:szCs w:val="24"/>
              </w:rPr>
              <w:t>建设规模化、标准化、生态化的豫南黑猪、淮南麻鸭等畜禽水产养殖基地和专用饲料基地，发展畜牧加工业和羽毛加工业，建设优质鱼类、甲鱼、虾类产业化集群。</w:t>
            </w:r>
          </w:p>
          <w:p>
            <w:pPr>
              <w:spacing w:line="400" w:lineRule="exact"/>
              <w:ind w:firstLine="474" w:firstLineChars="200"/>
              <w:rPr>
                <w:sz w:val="24"/>
                <w:szCs w:val="24"/>
              </w:rPr>
            </w:pPr>
            <w:r>
              <w:rPr>
                <w:rFonts w:hint="eastAsia"/>
                <w:b/>
                <w:bCs/>
                <w:sz w:val="24"/>
                <w:szCs w:val="24"/>
              </w:rPr>
              <w:t>优质林业花木产业化集群。</w:t>
            </w:r>
            <w:r>
              <w:rPr>
                <w:rFonts w:hint="eastAsia"/>
                <w:sz w:val="24"/>
                <w:szCs w:val="24"/>
              </w:rPr>
              <w:t>推动花卉苗木生产基地规模化发展，建成若干集品种培育、展示交易、休闲观光于一体的花卉产业园。发展杨木种植及制板等林产品产业化集群。</w:t>
            </w:r>
          </w:p>
          <w:p>
            <w:pPr>
              <w:spacing w:line="400" w:lineRule="exact"/>
              <w:ind w:firstLine="474" w:firstLineChars="200"/>
              <w:rPr>
                <w:rFonts w:eastAsia="仿宋_GB2312"/>
                <w:sz w:val="24"/>
                <w:szCs w:val="24"/>
              </w:rPr>
            </w:pPr>
            <w:r>
              <w:rPr>
                <w:rFonts w:hint="eastAsia"/>
                <w:b/>
                <w:bCs/>
                <w:sz w:val="24"/>
                <w:szCs w:val="24"/>
              </w:rPr>
              <w:t>特色农业产业化集群。</w:t>
            </w:r>
            <w:r>
              <w:rPr>
                <w:rFonts w:hint="eastAsia"/>
                <w:sz w:val="24"/>
                <w:szCs w:val="24"/>
              </w:rPr>
              <w:t>建设标准化草莓、樱桃、葡萄、蓝莓、茶叶、天麻、银杏、息半夏、油茶、油牡丹、青钱柳、豆腐柴等特色产业基地。</w:t>
            </w:r>
          </w:p>
        </w:tc>
      </w:tr>
    </w:tbl>
    <w:p>
      <w:pPr>
        <w:spacing w:line="580" w:lineRule="exact"/>
        <w:ind w:firstLine="634" w:firstLineChars="200"/>
        <w:rPr>
          <w:kern w:val="0"/>
        </w:rPr>
      </w:pPr>
      <w:r>
        <w:rPr>
          <w:rFonts w:hint="eastAsia"/>
          <w:b/>
          <w:bCs/>
        </w:rPr>
        <w:t>持续抓好都市生态农业发展工程。</w:t>
      </w:r>
      <w:r>
        <w:rPr>
          <w:rFonts w:hint="eastAsia"/>
          <w:kern w:val="0"/>
        </w:rPr>
        <w:t>以“菜篮子”为主，统筹观光、休闲、体验功能，大力发展生态、有机、设施、创意等农业新业态，创建示范园区，不断满足城乡居民休闲、娱乐、健身等方面的消费需求。到</w:t>
      </w:r>
      <w:r>
        <w:rPr>
          <w:kern w:val="0"/>
        </w:rPr>
        <w:t>2020</w:t>
      </w:r>
      <w:r>
        <w:rPr>
          <w:rFonts w:hint="eastAsia"/>
          <w:kern w:val="0"/>
        </w:rPr>
        <w:t>年，都市生态农业区域初步建设成为“菜篮子”产品重要供给区，力争建成</w:t>
      </w:r>
      <w:r>
        <w:rPr>
          <w:kern w:val="0"/>
        </w:rPr>
        <w:t>1-2</w:t>
      </w:r>
      <w:r>
        <w:rPr>
          <w:rFonts w:hint="eastAsia"/>
          <w:kern w:val="0"/>
        </w:rPr>
        <w:t>个省级都市生态农业示范园区。</w:t>
      </w:r>
    </w:p>
    <w:p>
      <w:pPr>
        <w:spacing w:line="580" w:lineRule="exact"/>
        <w:ind w:firstLine="634" w:firstLineChars="200"/>
        <w:rPr>
          <w:b/>
          <w:bCs/>
        </w:rPr>
      </w:pPr>
      <w:r>
        <w:rPr>
          <w:rFonts w:hint="eastAsia"/>
          <w:b/>
          <w:bCs/>
        </w:rPr>
        <w:t>大力推进一二三产业融合发展。</w:t>
      </w:r>
      <w:r>
        <w:rPr>
          <w:rFonts w:hint="eastAsia"/>
        </w:rPr>
        <w:t>实施农村精品旅游线路和休闲观光农业品牌培育，突出茶乡游、山水乡村游、农事景观游，建设一批特色旅游乡镇。鼓励发展规模种养业、农产品加工业和农村服务业，推进生产、加工、物流、营销一体化发展，重点突出生态茶园、茶叶标准化生产基地建设，保护信阳茶叶的品牌、市场，提升茶叶质量安全，加强茶叶专业合作社建设，成立市级茶叶研发中心，在品牌创建、电商销售、茶艺表演等方面下功夫，做深产业链、延伸价值链。到</w:t>
      </w:r>
      <w:r>
        <w:t>2020</w:t>
      </w:r>
      <w:r>
        <w:rPr>
          <w:rFonts w:hint="eastAsia"/>
        </w:rPr>
        <w:t>年，主要农产品转化率达到</w:t>
      </w:r>
      <w:r>
        <w:t>50%</w:t>
      </w:r>
      <w:r>
        <w:rPr>
          <w:rFonts w:hint="eastAsia"/>
        </w:rPr>
        <w:t>以上，建设一批农村一二三产业融合发展示范区。</w:t>
      </w:r>
    </w:p>
    <w:p>
      <w:pPr>
        <w:spacing w:line="580" w:lineRule="exact"/>
        <w:ind w:firstLine="634" w:firstLineChars="200"/>
        <w:rPr>
          <w:rFonts w:eastAsia="仿宋_GB2312"/>
        </w:rPr>
      </w:pPr>
      <w:r>
        <w:rPr>
          <w:rFonts w:hint="eastAsia"/>
          <w:b/>
          <w:bCs/>
        </w:rPr>
        <w:t>积极构建现代农业支撑体系。</w:t>
      </w:r>
      <w:r>
        <w:rPr>
          <w:rFonts w:hint="eastAsia"/>
        </w:rPr>
        <w:t>加快培育新型农业经营主体，在坚持和完善农村基本经营制度的基础上，规范引导农村土地经营权有序流转，发展多种形式的适度规模经营，提高耕种收综合机械化率。扩大农村承包土地经营权抵押贷款、大型农机具融资租赁试点范围并加快推广。加快农村产权制度改革，探索土地信用托管担保平台建设，试点土地经营股份合作，建立农村产权交易市场。加快农业科技及公共服务体制改革，建立农业科技服务云平台，推进农业科技协同创新联盟建设，积极发展精准农业和农产品电商，打造现代农业科技示范区。成立农村金融合作组织，加强对现代农业发展的资金支持力度。</w:t>
      </w:r>
      <w:r>
        <w:rPr>
          <w:rFonts w:hint="eastAsia"/>
          <w:color w:val="000000"/>
        </w:rPr>
        <w:t>积极推进大中小型水库、灌排体系等重大水利工程和小型农田水利设施建设，创新农田水利设施建设体制机制，解决好农田灌溉“最后一公里”问题，着力构建防洪抗旱减灾体系。加强气象为农服务体系建设，提高抗旱和保护生态能力。</w:t>
      </w:r>
      <w:r>
        <w:rPr>
          <w:rFonts w:hint="eastAsia"/>
        </w:rPr>
        <w:t>加强县乡农产品质量和食品安全监管能力建设，落实重要农产品生产基地、批发市场质量安全检验检测费用补助政策。健全食品安全监管综合协调制度，强化政府属地管理和生产经营主体责任，严格责任追究制度，严厉打击各类食品安全违法犯罪行为，坚决遏制重特大食品安全事故发生。</w:t>
      </w:r>
    </w:p>
    <w:tbl>
      <w:tblPr>
        <w:tblStyle w:val="7"/>
        <w:tblW w:w="82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82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4"/>
              </w:rPr>
            </w:pPr>
            <w:r>
              <w:rPr>
                <w:rFonts w:hint="eastAsia" w:eastAsia="方正小标宋_GBK"/>
                <w:spacing w:val="-8"/>
                <w:sz w:val="28"/>
                <w:szCs w:val="24"/>
              </w:rPr>
              <w:t>专栏</w:t>
            </w:r>
            <w:r>
              <w:rPr>
                <w:rFonts w:eastAsia="方正小标宋_GBK"/>
                <w:spacing w:val="-8"/>
                <w:sz w:val="28"/>
                <w:szCs w:val="24"/>
              </w:rPr>
              <w:t>11</w:t>
            </w:r>
            <w:r>
              <w:rPr>
                <w:rFonts w:hint="eastAsia" w:eastAsia="方正小标宋_GBK"/>
                <w:spacing w:val="-8"/>
                <w:sz w:val="28"/>
                <w:szCs w:val="24"/>
              </w:rPr>
              <w:t>：现代农业支撑体系建设重点工程</w:t>
            </w:r>
            <w:r>
              <w:rPr>
                <w:rFonts w:eastAsia="方正小标宋_GBK"/>
                <w:spacing w:val="-8"/>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8272"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农业科技支撑能力。</w:t>
            </w:r>
            <w:r>
              <w:rPr>
                <w:rFonts w:hint="eastAsia"/>
                <w:sz w:val="24"/>
                <w:szCs w:val="24"/>
              </w:rPr>
              <w:t>开展粮食增产模式攻关，推进水稻工厂化育秧、机械化深松整地、测土配方施肥等稳产增产和抗灾减灾关键技术的集成应用；推动精准作业、遥感监测、灾害预警、地理信息服务及物联网等现代信息技术应用；推广农业全程机械化。</w:t>
            </w:r>
          </w:p>
          <w:p>
            <w:pPr>
              <w:spacing w:line="400" w:lineRule="exact"/>
              <w:ind w:firstLine="474" w:firstLineChars="200"/>
              <w:rPr>
                <w:sz w:val="24"/>
                <w:szCs w:val="24"/>
              </w:rPr>
            </w:pPr>
            <w:r>
              <w:rPr>
                <w:rFonts w:hint="eastAsia"/>
                <w:b/>
                <w:bCs/>
                <w:sz w:val="24"/>
                <w:szCs w:val="24"/>
              </w:rPr>
              <w:t>现代种业支撑体系。</w:t>
            </w:r>
            <w:r>
              <w:rPr>
                <w:rFonts w:hint="eastAsia"/>
                <w:sz w:val="24"/>
                <w:szCs w:val="24"/>
              </w:rPr>
              <w:t>重点实施袁隆平院士超级杂交稻“百千万”攻关示范基地建设工程，建设杂交水稻、杂交油菜制种基地。</w:t>
            </w:r>
          </w:p>
          <w:p>
            <w:pPr>
              <w:spacing w:line="400" w:lineRule="exact"/>
              <w:ind w:firstLine="474" w:firstLineChars="200"/>
              <w:rPr>
                <w:sz w:val="24"/>
                <w:szCs w:val="24"/>
              </w:rPr>
            </w:pPr>
            <w:r>
              <w:rPr>
                <w:rFonts w:hint="eastAsia"/>
                <w:b/>
                <w:bCs/>
                <w:sz w:val="24"/>
                <w:szCs w:val="24"/>
              </w:rPr>
              <w:t>农业基础设施支持体系。</w:t>
            </w:r>
            <w:r>
              <w:rPr>
                <w:rFonts w:hint="eastAsia"/>
                <w:sz w:val="24"/>
                <w:szCs w:val="24"/>
              </w:rPr>
              <w:t>重点实施湖塘清淤、新建，中小型泵站改造，电灌站更新改造等项目。</w:t>
            </w:r>
          </w:p>
          <w:p>
            <w:pPr>
              <w:spacing w:line="400" w:lineRule="exact"/>
              <w:ind w:firstLine="474" w:firstLineChars="200"/>
              <w:rPr>
                <w:rFonts w:eastAsia="仿宋_GB2312"/>
                <w:sz w:val="24"/>
                <w:szCs w:val="24"/>
              </w:rPr>
            </w:pPr>
            <w:r>
              <w:rPr>
                <w:rFonts w:hint="eastAsia"/>
                <w:b/>
                <w:bCs/>
                <w:sz w:val="24"/>
                <w:szCs w:val="24"/>
              </w:rPr>
              <w:t>优质农产品质量控制体系。</w:t>
            </w:r>
            <w:r>
              <w:rPr>
                <w:rFonts w:hint="eastAsia"/>
                <w:sz w:val="24"/>
                <w:szCs w:val="24"/>
              </w:rPr>
              <w:t>推进农业全过程标准化生产，开展无公害农产品、绿色食品、有机农产品、农产品地理标志认证，建设一批品牌产品生产基地，建设肉类、蔬菜、中药材等主要产品流通追溯体系，建立全程可追溯、互联共享的农产品质量和食品安全信息平台。支持新县建设河南省木本油产品质量监督检验中心，谋划建设信阳（商城）农产品检测中心。</w:t>
            </w:r>
          </w:p>
        </w:tc>
      </w:tr>
    </w:tbl>
    <w:p>
      <w:pPr>
        <w:pStyle w:val="4"/>
        <w:spacing w:before="0" w:after="0" w:line="580" w:lineRule="exact"/>
        <w:jc w:val="center"/>
        <w:rPr>
          <w:rFonts w:eastAsia="方正仿宋_GBK"/>
        </w:rPr>
      </w:pPr>
      <w:bookmarkStart w:id="60" w:name="_Toc25436"/>
      <w:bookmarkStart w:id="61" w:name="_Toc440292078"/>
      <w:bookmarkStart w:id="62" w:name="_Toc14946"/>
      <w:bookmarkStart w:id="63" w:name="_Toc440730877"/>
      <w:r>
        <w:rPr>
          <w:rFonts w:hint="eastAsia" w:eastAsia="方正仿宋_GBK"/>
        </w:rPr>
        <w:t>第四节</w:t>
      </w:r>
      <w:r>
        <w:rPr>
          <w:rFonts w:eastAsia="方正仿宋_GBK"/>
        </w:rPr>
        <w:t xml:space="preserve">  </w:t>
      </w:r>
      <w:r>
        <w:rPr>
          <w:rFonts w:hint="eastAsia" w:eastAsia="方正仿宋_GBK"/>
        </w:rPr>
        <w:t>加快发展互联网经济</w:t>
      </w:r>
      <w:bookmarkEnd w:id="60"/>
      <w:bookmarkEnd w:id="61"/>
      <w:bookmarkEnd w:id="62"/>
      <w:bookmarkEnd w:id="63"/>
    </w:p>
    <w:p>
      <w:pPr>
        <w:spacing w:line="580" w:lineRule="exact"/>
        <w:ind w:firstLine="632" w:firstLineChars="200"/>
      </w:pPr>
      <w:r>
        <w:rPr>
          <w:rFonts w:hint="eastAsia"/>
        </w:rPr>
        <w:t>要抢抓机遇，大力实施电子商务、大数据、互联网</w:t>
      </w:r>
      <w:r>
        <w:t>+</w:t>
      </w:r>
      <w:r>
        <w:rPr>
          <w:rStyle w:val="8"/>
        </w:rPr>
        <w:footnoteReference w:id="10"/>
      </w:r>
      <w:r>
        <w:rPr>
          <w:rFonts w:hint="eastAsia"/>
        </w:rPr>
        <w:t>三大行动计划，通过市场牵引、开放合作、跨界创新、融合应用，发展基于互联网、大数据的网络经济新形态。</w:t>
      </w:r>
      <w:r>
        <w:t xml:space="preserve"> </w:t>
      </w:r>
    </w:p>
    <w:p>
      <w:pPr>
        <w:spacing w:line="580" w:lineRule="exact"/>
        <w:ind w:firstLine="634" w:firstLineChars="200"/>
      </w:pPr>
      <w:r>
        <w:rPr>
          <w:rFonts w:hint="eastAsia"/>
          <w:b/>
          <w:bCs/>
        </w:rPr>
        <w:t>推进电子商务大发展。</w:t>
      </w:r>
      <w:r>
        <w:rPr>
          <w:rFonts w:hint="eastAsia"/>
        </w:rPr>
        <w:t>大力推进企业电子商务应用，支持开展原材料、工业品网上交易、定制、销售等业务，努力推动电子商务与全产业链的互动融合、协同发展。积极培育农村电子商务，鼓励发展农产品网上购销对接等交易方式。加快发展跨境贸易电子商务和移动电子商务。实施电子商务物流配送工程，基本形成覆盖城乡的快递服务网络。实施电子商务集聚发展工程，建设一批电子商务示范基地、产业园区。力争到</w:t>
      </w:r>
      <w:r>
        <w:t>2020</w:t>
      </w:r>
      <w:r>
        <w:rPr>
          <w:rFonts w:hint="eastAsia"/>
        </w:rPr>
        <w:t>年，应用电子商务开展内外贸易的企业达到</w:t>
      </w:r>
      <w:r>
        <w:t>80%</w:t>
      </w:r>
      <w:r>
        <w:rPr>
          <w:rFonts w:hint="eastAsia"/>
        </w:rPr>
        <w:t>以上，网络零售额相当于社会消费品零售总额</w:t>
      </w:r>
      <w:r>
        <w:t>20%</w:t>
      </w:r>
      <w:r>
        <w:rPr>
          <w:rFonts w:hint="eastAsia"/>
        </w:rPr>
        <w:t>左右。</w:t>
      </w:r>
    </w:p>
    <w:tbl>
      <w:tblPr>
        <w:tblStyle w:val="7"/>
        <w:tblW w:w="8314" w:type="dxa"/>
        <w:jc w:val="center"/>
        <w:tblInd w:w="0" w:type="dxa"/>
        <w:tblLayout w:type="fixed"/>
        <w:tblCellMar>
          <w:top w:w="0" w:type="dxa"/>
          <w:left w:w="108" w:type="dxa"/>
          <w:bottom w:w="0" w:type="dxa"/>
          <w:right w:w="108" w:type="dxa"/>
        </w:tblCellMar>
      </w:tblPr>
      <w:tblGrid>
        <w:gridCol w:w="8314"/>
      </w:tblGrid>
      <w:tr>
        <w:tblPrEx>
          <w:tblLayout w:type="fixed"/>
          <w:tblCellMar>
            <w:top w:w="0" w:type="dxa"/>
            <w:left w:w="108" w:type="dxa"/>
            <w:bottom w:w="0" w:type="dxa"/>
            <w:right w:w="108" w:type="dxa"/>
          </w:tblCellMar>
        </w:tblPrEx>
        <w:trPr>
          <w:trHeight w:val="524" w:hRule="atLeast"/>
          <w:jc w:val="center"/>
        </w:trPr>
        <w:tc>
          <w:tcPr>
            <w:tcW w:w="83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4"/>
              </w:rPr>
            </w:pPr>
            <w:r>
              <w:rPr>
                <w:rFonts w:hint="eastAsia" w:eastAsia="方正小标宋_GBK"/>
                <w:spacing w:val="-8"/>
                <w:sz w:val="28"/>
                <w:szCs w:val="24"/>
              </w:rPr>
              <w:t>专栏</w:t>
            </w:r>
            <w:r>
              <w:rPr>
                <w:rFonts w:eastAsia="方正小标宋_GBK"/>
                <w:spacing w:val="-8"/>
                <w:sz w:val="28"/>
                <w:szCs w:val="24"/>
              </w:rPr>
              <w:t>12</w:t>
            </w:r>
            <w:r>
              <w:rPr>
                <w:rFonts w:hint="eastAsia" w:eastAsia="方正小标宋_GBK"/>
                <w:spacing w:val="-8"/>
                <w:sz w:val="28"/>
                <w:szCs w:val="24"/>
              </w:rPr>
              <w:t>：电子商务发展重点工程</w:t>
            </w:r>
          </w:p>
        </w:tc>
      </w:tr>
      <w:tr>
        <w:tblPrEx>
          <w:tblLayout w:type="fixed"/>
          <w:tblCellMar>
            <w:top w:w="0" w:type="dxa"/>
            <w:left w:w="108" w:type="dxa"/>
            <w:bottom w:w="0" w:type="dxa"/>
            <w:right w:w="108" w:type="dxa"/>
          </w:tblCellMar>
        </w:tblPrEx>
        <w:trPr>
          <w:trHeight w:val="576" w:hRule="atLeast"/>
          <w:jc w:val="center"/>
        </w:trPr>
        <w:tc>
          <w:tcPr>
            <w:tcW w:w="8314"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42" w:firstLineChars="200"/>
              <w:rPr>
                <w:sz w:val="24"/>
                <w:szCs w:val="24"/>
              </w:rPr>
            </w:pPr>
            <w:r>
              <w:rPr>
                <w:rFonts w:hint="eastAsia"/>
                <w:b/>
                <w:bCs/>
                <w:spacing w:val="-8"/>
                <w:sz w:val="24"/>
                <w:szCs w:val="24"/>
              </w:rPr>
              <w:t>电子商务产业融合工程。</w:t>
            </w:r>
            <w:r>
              <w:rPr>
                <w:rFonts w:hint="eastAsia"/>
                <w:sz w:val="24"/>
                <w:szCs w:val="24"/>
              </w:rPr>
              <w:t>支持生产制造企业与电子商务企业建立互动发展的平台和机制。支持制造、流通企业依托现有服务网点建设升级一批线上线下服务中心。支持旅游、教育、餐饮住宿等服务企业深化电子商务应用。支持企业利用电子商务平台开展融资租赁、电子招投标、检验检测等服务。</w:t>
            </w:r>
          </w:p>
          <w:p>
            <w:pPr>
              <w:spacing w:line="400" w:lineRule="exact"/>
              <w:ind w:firstLine="442" w:firstLineChars="200"/>
              <w:rPr>
                <w:b/>
                <w:bCs/>
                <w:spacing w:val="-8"/>
                <w:sz w:val="24"/>
                <w:szCs w:val="24"/>
              </w:rPr>
            </w:pPr>
            <w:r>
              <w:rPr>
                <w:rFonts w:hint="eastAsia"/>
                <w:b/>
                <w:bCs/>
                <w:spacing w:val="-8"/>
                <w:sz w:val="24"/>
                <w:szCs w:val="24"/>
              </w:rPr>
              <w:t>农村电子商务覆盖工程。</w:t>
            </w:r>
            <w:r>
              <w:rPr>
                <w:rFonts w:hint="eastAsia"/>
                <w:sz w:val="24"/>
                <w:szCs w:val="24"/>
              </w:rPr>
              <w:t>开展农村电子商务培训，建设县域电子商务公共服务中心和农村淘宝服务站，提高农村商品化比例和网络销售比例。鼓励发展电商直供、私人定制、社区支持农业（</w:t>
            </w:r>
            <w:r>
              <w:rPr>
                <w:sz w:val="24"/>
                <w:szCs w:val="24"/>
              </w:rPr>
              <w:t>CSA</w:t>
            </w:r>
            <w:r>
              <w:rPr>
                <w:rFonts w:hint="eastAsia"/>
                <w:sz w:val="24"/>
                <w:szCs w:val="24"/>
              </w:rPr>
              <w:t>）等新型农业经营模式。重点推进光山等县电子商务进农村示范县建设，支持浉河等县（区）申报电子商务进农村示范试点。</w:t>
            </w:r>
          </w:p>
          <w:p>
            <w:pPr>
              <w:spacing w:line="400" w:lineRule="exact"/>
              <w:ind w:firstLine="442" w:firstLineChars="200"/>
              <w:rPr>
                <w:b/>
                <w:bCs/>
                <w:spacing w:val="-8"/>
                <w:sz w:val="24"/>
                <w:szCs w:val="24"/>
              </w:rPr>
            </w:pPr>
            <w:r>
              <w:rPr>
                <w:rFonts w:hint="eastAsia"/>
                <w:b/>
                <w:bCs/>
                <w:spacing w:val="-8"/>
                <w:sz w:val="24"/>
                <w:szCs w:val="24"/>
              </w:rPr>
              <w:t>跨境电子商务提升工程。</w:t>
            </w:r>
            <w:r>
              <w:rPr>
                <w:rFonts w:hint="eastAsia"/>
                <w:color w:val="000000"/>
                <w:sz w:val="24"/>
                <w:szCs w:val="24"/>
              </w:rPr>
              <w:t>鼓励外贸企业开展跨境批发或零售，实行电子商务经营主体分类和按规定登记备案，建立境外销售渠道，开展网上推介，提升我市产品在境外市场的品牌影响力和附加值；支持进口企业利用电子商务平台拓展进口商品国内销售渠道。</w:t>
            </w:r>
          </w:p>
          <w:p>
            <w:pPr>
              <w:spacing w:line="400" w:lineRule="exact"/>
              <w:ind w:firstLine="442" w:firstLineChars="200"/>
              <w:rPr>
                <w:b/>
                <w:bCs/>
                <w:spacing w:val="-8"/>
                <w:sz w:val="24"/>
                <w:szCs w:val="24"/>
              </w:rPr>
            </w:pPr>
            <w:r>
              <w:rPr>
                <w:rFonts w:hint="eastAsia"/>
                <w:b/>
                <w:bCs/>
                <w:spacing w:val="-8"/>
                <w:sz w:val="24"/>
                <w:szCs w:val="24"/>
              </w:rPr>
              <w:t>电子商务物流配送工程。</w:t>
            </w:r>
            <w:r>
              <w:rPr>
                <w:rFonts w:hint="eastAsia"/>
                <w:color w:val="000000"/>
                <w:sz w:val="24"/>
                <w:szCs w:val="24"/>
              </w:rPr>
              <w:t>积极谋划以“高速</w:t>
            </w:r>
            <w:r>
              <w:rPr>
                <w:color w:val="000000"/>
                <w:sz w:val="24"/>
                <w:szCs w:val="24"/>
              </w:rPr>
              <w:t>+</w:t>
            </w:r>
            <w:r>
              <w:rPr>
                <w:rFonts w:hint="eastAsia"/>
                <w:color w:val="000000"/>
                <w:sz w:val="24"/>
                <w:szCs w:val="24"/>
              </w:rPr>
              <w:t>高铁</w:t>
            </w:r>
            <w:r>
              <w:rPr>
                <w:color w:val="000000"/>
                <w:sz w:val="24"/>
                <w:szCs w:val="24"/>
              </w:rPr>
              <w:t>+</w:t>
            </w:r>
            <w:r>
              <w:rPr>
                <w:rFonts w:hint="eastAsia"/>
                <w:color w:val="000000"/>
                <w:sz w:val="24"/>
                <w:szCs w:val="24"/>
              </w:rPr>
              <w:t>空港</w:t>
            </w:r>
            <w:r>
              <w:rPr>
                <w:color w:val="000000"/>
                <w:sz w:val="24"/>
                <w:szCs w:val="24"/>
              </w:rPr>
              <w:t>+</w:t>
            </w:r>
            <w:r>
              <w:rPr>
                <w:rFonts w:hint="eastAsia"/>
                <w:color w:val="000000"/>
                <w:sz w:val="24"/>
                <w:szCs w:val="24"/>
              </w:rPr>
              <w:t>水运”多式联运为纽带，逐步把我市境内的高速公路出口、铁路场站、机场合理连接起来，吸引国内知名电子商务企业布局仓储物流配送设施，创建区域性电子商务和快递配送分拨中心。</w:t>
            </w:r>
          </w:p>
          <w:p>
            <w:pPr>
              <w:spacing w:line="400" w:lineRule="exact"/>
              <w:ind w:firstLine="442" w:firstLineChars="200"/>
              <w:rPr>
                <w:rFonts w:eastAsia="仿宋_GB2312"/>
                <w:sz w:val="24"/>
                <w:szCs w:val="24"/>
              </w:rPr>
            </w:pPr>
            <w:r>
              <w:rPr>
                <w:rFonts w:hint="eastAsia"/>
                <w:b/>
                <w:bCs/>
                <w:spacing w:val="-8"/>
                <w:sz w:val="24"/>
                <w:szCs w:val="24"/>
              </w:rPr>
              <w:t>电子商务集聚发展工程。</w:t>
            </w:r>
            <w:r>
              <w:rPr>
                <w:rFonts w:hint="eastAsia"/>
                <w:sz w:val="24"/>
                <w:szCs w:val="24"/>
              </w:rPr>
              <w:t>制定完善支持政策，加快阿里巴巴信阳产业带、信阳电子产业园、浉河区金牛电子商务物流产业园、光山县羽绒服装电子商务创业基地、息县电子商务创意园、淮滨县城乡信息化产业园等重点园区建设，力争使信阳成为国家电子商务示范基地，建成</w:t>
            </w:r>
            <w:r>
              <w:rPr>
                <w:sz w:val="24"/>
                <w:szCs w:val="24"/>
              </w:rPr>
              <w:t>2</w:t>
            </w:r>
            <w:r>
              <w:rPr>
                <w:rFonts w:hint="eastAsia"/>
                <w:sz w:val="24"/>
                <w:szCs w:val="24"/>
              </w:rPr>
              <w:t>个以上综合电商园，</w:t>
            </w:r>
            <w:r>
              <w:rPr>
                <w:sz w:val="24"/>
                <w:szCs w:val="24"/>
              </w:rPr>
              <w:t>80%</w:t>
            </w:r>
            <w:r>
              <w:rPr>
                <w:rFonts w:hint="eastAsia"/>
                <w:sz w:val="24"/>
                <w:szCs w:val="24"/>
              </w:rPr>
              <w:t>的县区建成特色电子商务园区，力争创建</w:t>
            </w:r>
            <w:r>
              <w:rPr>
                <w:sz w:val="24"/>
                <w:szCs w:val="24"/>
              </w:rPr>
              <w:t>3-5</w:t>
            </w:r>
            <w:r>
              <w:rPr>
                <w:rFonts w:hint="eastAsia"/>
                <w:sz w:val="24"/>
                <w:szCs w:val="24"/>
              </w:rPr>
              <w:t>个省级示范基地和</w:t>
            </w:r>
            <w:r>
              <w:rPr>
                <w:sz w:val="24"/>
                <w:szCs w:val="24"/>
              </w:rPr>
              <w:t>10</w:t>
            </w:r>
            <w:r>
              <w:rPr>
                <w:rFonts w:hint="eastAsia"/>
                <w:sz w:val="24"/>
                <w:szCs w:val="24"/>
              </w:rPr>
              <w:t>家省级示范企业。</w:t>
            </w:r>
          </w:p>
        </w:tc>
      </w:tr>
    </w:tbl>
    <w:p>
      <w:pPr>
        <w:spacing w:line="580" w:lineRule="exact"/>
        <w:ind w:firstLine="634" w:firstLineChars="200"/>
      </w:pPr>
      <w:r>
        <w:rPr>
          <w:rFonts w:hint="eastAsia"/>
          <w:b/>
          <w:bCs/>
        </w:rPr>
        <w:t>实施大数据发展战略。</w:t>
      </w:r>
      <w:r>
        <w:rPr>
          <w:rFonts w:hint="eastAsia"/>
        </w:rPr>
        <w:t>坚持市场主导、需求引导、融合创新、安全有序，大力推动大数据汇集、挖掘和应用，提升政府治理能力。积极推动政府数据和公共数据资源开放共享，统筹政务数据资源和社会数据资源，整合各类政府信息平台和信息系统，建设完善市级统一的政府数据服务网、政务云平台。鼓励政府部门与企业、社会机构开展合作，通过政府采购、服务外包、社会众包等方式，依托专业企业开展政府大数据应用。引导鼓励企业和社会机构深入发掘公共服务数据，开发各类便民应用，提升公共服务水平。深化大数据在一二三产业各环节创新应用，积极培育大数据新业态、新模式，形成新的经济增长点。</w:t>
      </w:r>
    </w:p>
    <w:tbl>
      <w:tblPr>
        <w:tblStyle w:val="7"/>
        <w:tblW w:w="8282" w:type="dxa"/>
        <w:jc w:val="center"/>
        <w:tblInd w:w="0" w:type="dxa"/>
        <w:tblLayout w:type="fixed"/>
        <w:tblCellMar>
          <w:top w:w="0" w:type="dxa"/>
          <w:left w:w="108" w:type="dxa"/>
          <w:bottom w:w="0" w:type="dxa"/>
          <w:right w:w="108" w:type="dxa"/>
        </w:tblCellMar>
      </w:tblPr>
      <w:tblGrid>
        <w:gridCol w:w="8282"/>
      </w:tblGrid>
      <w:tr>
        <w:tblPrEx>
          <w:tblLayout w:type="fixed"/>
          <w:tblCellMar>
            <w:top w:w="0" w:type="dxa"/>
            <w:left w:w="108" w:type="dxa"/>
            <w:bottom w:w="0" w:type="dxa"/>
            <w:right w:w="108" w:type="dxa"/>
          </w:tblCellMar>
        </w:tblPrEx>
        <w:trPr>
          <w:trHeight w:val="524" w:hRule="atLeast"/>
          <w:jc w:val="center"/>
        </w:trPr>
        <w:tc>
          <w:tcPr>
            <w:tcW w:w="82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4"/>
              </w:rPr>
            </w:pPr>
            <w:r>
              <w:rPr>
                <w:rFonts w:hint="eastAsia" w:eastAsia="方正小标宋_GBK"/>
                <w:spacing w:val="-8"/>
                <w:sz w:val="28"/>
                <w:szCs w:val="24"/>
              </w:rPr>
              <w:t>专栏</w:t>
            </w:r>
            <w:r>
              <w:rPr>
                <w:rFonts w:eastAsia="方正小标宋_GBK"/>
                <w:spacing w:val="-8"/>
                <w:sz w:val="28"/>
                <w:szCs w:val="24"/>
              </w:rPr>
              <w:t>13</w:t>
            </w:r>
            <w:r>
              <w:rPr>
                <w:rFonts w:hint="eastAsia" w:eastAsia="方正小标宋_GBK"/>
                <w:spacing w:val="-8"/>
                <w:sz w:val="28"/>
                <w:szCs w:val="24"/>
              </w:rPr>
              <w:t>：大数据发展重点工程</w:t>
            </w:r>
            <w:r>
              <w:rPr>
                <w:rFonts w:eastAsia="方正小标宋_GBK"/>
                <w:spacing w:val="-8"/>
                <w:sz w:val="28"/>
                <w:szCs w:val="24"/>
              </w:rPr>
              <w:t xml:space="preserve"> </w:t>
            </w:r>
          </w:p>
        </w:tc>
      </w:tr>
      <w:tr>
        <w:tblPrEx>
          <w:tblLayout w:type="fixed"/>
          <w:tblCellMar>
            <w:top w:w="0" w:type="dxa"/>
            <w:left w:w="108" w:type="dxa"/>
            <w:bottom w:w="0" w:type="dxa"/>
            <w:right w:w="108" w:type="dxa"/>
          </w:tblCellMar>
        </w:tblPrEx>
        <w:trPr>
          <w:trHeight w:val="583" w:hRule="atLeast"/>
          <w:jc w:val="center"/>
        </w:trPr>
        <w:tc>
          <w:tcPr>
            <w:tcW w:w="8282"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42" w:firstLineChars="200"/>
              <w:rPr>
                <w:sz w:val="24"/>
                <w:szCs w:val="24"/>
              </w:rPr>
            </w:pPr>
            <w:r>
              <w:rPr>
                <w:rFonts w:hint="eastAsia"/>
                <w:b/>
                <w:bCs/>
                <w:spacing w:val="-8"/>
                <w:sz w:val="24"/>
                <w:szCs w:val="24"/>
              </w:rPr>
              <w:t>政府数据资源开放共享工程。</w:t>
            </w:r>
            <w:r>
              <w:rPr>
                <w:rFonts w:hint="eastAsia"/>
                <w:sz w:val="24"/>
                <w:szCs w:val="24"/>
              </w:rPr>
              <w:t>依托中原云平台，整合政府部门公共数据资源，制定数据源开放清单和开放计划，逐步实现信用、交通、医疗、就业、社保、文化、教育、科技、资源、农业、环境、安监、金融等领域的政府数据开放，加快建立数据服务平台和大数据交易体系。</w:t>
            </w:r>
          </w:p>
          <w:p>
            <w:pPr>
              <w:spacing w:line="400" w:lineRule="exact"/>
              <w:ind w:firstLine="442" w:firstLineChars="200"/>
              <w:rPr>
                <w:b/>
                <w:bCs/>
                <w:spacing w:val="-8"/>
                <w:sz w:val="24"/>
                <w:szCs w:val="24"/>
              </w:rPr>
            </w:pPr>
            <w:r>
              <w:rPr>
                <w:rFonts w:hint="eastAsia"/>
                <w:b/>
                <w:bCs/>
                <w:spacing w:val="-8"/>
                <w:sz w:val="24"/>
                <w:szCs w:val="24"/>
              </w:rPr>
              <w:t>公共服务大数据工程。</w:t>
            </w:r>
            <w:r>
              <w:rPr>
                <w:rFonts w:hint="eastAsia"/>
                <w:sz w:val="24"/>
                <w:szCs w:val="24"/>
              </w:rPr>
              <w:t>结合新型城镇化、信息惠民工程实施智慧城市建设，在城乡建设、健康医疗、社会救助、养老服务、劳动就业、社会保障、文化教育、交通旅游等领域开展大数据应用示范。</w:t>
            </w:r>
          </w:p>
          <w:p>
            <w:pPr>
              <w:spacing w:line="400" w:lineRule="exact"/>
              <w:ind w:firstLine="442" w:firstLineChars="200"/>
              <w:rPr>
                <w:rFonts w:eastAsia="仿宋_GB2312"/>
                <w:sz w:val="24"/>
                <w:szCs w:val="24"/>
              </w:rPr>
            </w:pPr>
            <w:r>
              <w:rPr>
                <w:rFonts w:hint="eastAsia"/>
                <w:b/>
                <w:bCs/>
                <w:spacing w:val="-8"/>
                <w:sz w:val="24"/>
                <w:szCs w:val="24"/>
              </w:rPr>
              <w:t>产业大数据应用工程。</w:t>
            </w:r>
            <w:r>
              <w:rPr>
                <w:rFonts w:hint="eastAsia"/>
                <w:sz w:val="24"/>
                <w:szCs w:val="24"/>
              </w:rPr>
              <w:t>推动工业、服务业、农业农村大数据应用，建立面向不同行业、不同环节的工业大数据资源聚合和分析应用平台，研发面向服务业的大数据解决方案，建立农业农村数据采集、运算、应用服务平台。</w:t>
            </w:r>
          </w:p>
        </w:tc>
      </w:tr>
    </w:tbl>
    <w:p>
      <w:pPr>
        <w:spacing w:line="580" w:lineRule="exact"/>
        <w:ind w:firstLine="634" w:firstLineChars="200"/>
        <w:rPr>
          <w:b/>
          <w:bCs/>
          <w:spacing w:val="-8"/>
        </w:rPr>
      </w:pPr>
      <w:r>
        <w:rPr>
          <w:rFonts w:hint="eastAsia"/>
          <w:b/>
          <w:bCs/>
        </w:rPr>
        <w:t>深入推进“互联网</w:t>
      </w:r>
      <w:r>
        <w:rPr>
          <w:b/>
          <w:bCs/>
        </w:rPr>
        <w:t>+</w:t>
      </w:r>
      <w:r>
        <w:rPr>
          <w:rFonts w:hint="eastAsia"/>
          <w:b/>
          <w:bCs/>
        </w:rPr>
        <w:t>”行动。</w:t>
      </w:r>
      <w:r>
        <w:rPr>
          <w:rFonts w:hint="eastAsia"/>
        </w:rPr>
        <w:t>以市场需求和改革创新为导向，充分发挥企业的主体作用，以产业转型升级、新业态新模式培育、公共服务能力提升为主攻方向，加快建立网络化、智能化、服务化、协同化的“互联网</w:t>
      </w:r>
      <w:r>
        <w:t>+</w:t>
      </w:r>
      <w:r>
        <w:rPr>
          <w:rFonts w:hint="eastAsia"/>
        </w:rPr>
        <w:t>”生态体系，推动互联网新业态成为经济增长新动力。重点围绕智能化生产、精准农业，创新产品与服务，优化流程和管理，打造产业智能服务系统，推动产业提质增效；以互联网增强公共服务能力，在惠民服务、绿色生态等领域，发展在线公共服务平台，推进政府网络化管理，建成更加普惠的智慧民生综合服务体系。</w:t>
      </w:r>
    </w:p>
    <w:tbl>
      <w:tblPr>
        <w:tblStyle w:val="7"/>
        <w:tblW w:w="8325" w:type="dxa"/>
        <w:jc w:val="center"/>
        <w:tblInd w:w="0" w:type="dxa"/>
        <w:tblLayout w:type="fixed"/>
        <w:tblCellMar>
          <w:top w:w="0" w:type="dxa"/>
          <w:left w:w="108" w:type="dxa"/>
          <w:bottom w:w="0" w:type="dxa"/>
          <w:right w:w="108" w:type="dxa"/>
        </w:tblCellMar>
      </w:tblPr>
      <w:tblGrid>
        <w:gridCol w:w="8325"/>
      </w:tblGrid>
      <w:tr>
        <w:tblPrEx>
          <w:tblLayout w:type="fixed"/>
          <w:tblCellMar>
            <w:top w:w="0" w:type="dxa"/>
            <w:left w:w="108" w:type="dxa"/>
            <w:bottom w:w="0" w:type="dxa"/>
            <w:right w:w="108" w:type="dxa"/>
          </w:tblCellMar>
        </w:tblPrEx>
        <w:trPr>
          <w:trHeight w:val="700" w:hRule="atLeast"/>
          <w:jc w:val="center"/>
        </w:trPr>
        <w:tc>
          <w:tcPr>
            <w:tcW w:w="83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4"/>
              </w:rPr>
            </w:pPr>
            <w:r>
              <w:rPr>
                <w:rFonts w:hint="eastAsia" w:eastAsia="方正小标宋_GBK"/>
                <w:spacing w:val="-8"/>
                <w:sz w:val="28"/>
                <w:szCs w:val="24"/>
              </w:rPr>
              <w:t>专栏</w:t>
            </w:r>
            <w:r>
              <w:rPr>
                <w:rFonts w:eastAsia="方正小标宋_GBK"/>
                <w:spacing w:val="-8"/>
                <w:sz w:val="28"/>
                <w:szCs w:val="24"/>
              </w:rPr>
              <w:t>14</w:t>
            </w:r>
            <w:r>
              <w:rPr>
                <w:rFonts w:hint="eastAsia" w:eastAsia="方正小标宋_GBK"/>
                <w:spacing w:val="-8"/>
                <w:sz w:val="28"/>
                <w:szCs w:val="24"/>
              </w:rPr>
              <w:t>：“互联网</w:t>
            </w:r>
            <w:r>
              <w:rPr>
                <w:rFonts w:eastAsia="方正小标宋_GBK"/>
                <w:spacing w:val="-8"/>
                <w:sz w:val="28"/>
                <w:szCs w:val="24"/>
              </w:rPr>
              <w:t>+</w:t>
            </w:r>
            <w:r>
              <w:rPr>
                <w:rFonts w:hint="eastAsia" w:eastAsia="方正小标宋_GBK"/>
                <w:spacing w:val="-8"/>
                <w:sz w:val="28"/>
                <w:szCs w:val="24"/>
              </w:rPr>
              <w:t>”重点专项工程</w:t>
            </w:r>
          </w:p>
        </w:tc>
      </w:tr>
      <w:tr>
        <w:tblPrEx>
          <w:tblLayout w:type="fixed"/>
          <w:tblCellMar>
            <w:top w:w="0" w:type="dxa"/>
            <w:left w:w="108" w:type="dxa"/>
            <w:bottom w:w="0" w:type="dxa"/>
            <w:right w:w="108" w:type="dxa"/>
          </w:tblCellMar>
        </w:tblPrEx>
        <w:trPr>
          <w:trHeight w:val="624" w:hRule="atLeast"/>
          <w:jc w:val="center"/>
        </w:trPr>
        <w:tc>
          <w:tcPr>
            <w:tcW w:w="8325"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产业提质增效促进工程。</w:t>
            </w:r>
            <w:r>
              <w:rPr>
                <w:rFonts w:hint="eastAsia"/>
                <w:sz w:val="24"/>
                <w:szCs w:val="24"/>
              </w:rPr>
              <w:t>重点在电子信息、装备制造、绿色食品、现代家居、纺织服装等领域开展规模化个性定制示范。建设农业物联网精准生产及实时监测系统、林地信息服务平台，建成一批“互联网</w:t>
            </w:r>
            <w:r>
              <w:rPr>
                <w:sz w:val="24"/>
                <w:szCs w:val="24"/>
              </w:rPr>
              <w:t>+</w:t>
            </w:r>
            <w:r>
              <w:rPr>
                <w:rFonts w:hint="eastAsia"/>
                <w:sz w:val="24"/>
                <w:szCs w:val="24"/>
              </w:rPr>
              <w:t>精准农业”示范园区和农业物联网技术应用示范点。</w:t>
            </w:r>
          </w:p>
          <w:p>
            <w:pPr>
              <w:spacing w:line="400" w:lineRule="exact"/>
              <w:ind w:firstLine="474" w:firstLineChars="200"/>
              <w:rPr>
                <w:sz w:val="24"/>
                <w:szCs w:val="24"/>
              </w:rPr>
            </w:pPr>
            <w:r>
              <w:rPr>
                <w:rFonts w:hint="eastAsia"/>
                <w:b/>
                <w:bCs/>
                <w:sz w:val="24"/>
                <w:szCs w:val="24"/>
              </w:rPr>
              <w:t>新业态新模式培育工程。</w:t>
            </w:r>
            <w:r>
              <w:rPr>
                <w:rFonts w:hint="eastAsia"/>
                <w:sz w:val="24"/>
                <w:szCs w:val="24"/>
              </w:rPr>
              <w:t>引进培育一批第三方支付、网络借贷等互联网金融</w:t>
            </w:r>
            <w:r>
              <w:rPr>
                <w:rStyle w:val="8"/>
              </w:rPr>
              <w:footnoteReference w:id="11"/>
            </w:r>
            <w:r>
              <w:rPr>
                <w:rFonts w:hint="eastAsia"/>
                <w:sz w:val="24"/>
                <w:szCs w:val="24"/>
              </w:rPr>
              <w:t>企业，积极开展股权众筹。鼓励开展软件开发、软件服务等业务，构建一批线上线下体验中心，建设商务公共服务云平台、智慧信阳物联网标识（</w:t>
            </w:r>
            <w:r>
              <w:rPr>
                <w:sz w:val="24"/>
                <w:szCs w:val="24"/>
              </w:rPr>
              <w:t>CID</w:t>
            </w:r>
            <w:r>
              <w:rPr>
                <w:rFonts w:hint="eastAsia"/>
                <w:sz w:val="24"/>
                <w:szCs w:val="24"/>
              </w:rPr>
              <w:t>）应用示范基地、北斗物联物流云平台、</w:t>
            </w:r>
            <w:r>
              <w:rPr>
                <w:sz w:val="24"/>
                <w:szCs w:val="24"/>
              </w:rPr>
              <w:t>3</w:t>
            </w:r>
            <w:r>
              <w:rPr>
                <w:rFonts w:hint="eastAsia"/>
                <w:sz w:val="24"/>
                <w:szCs w:val="24"/>
              </w:rPr>
              <w:t>万台（套）</w:t>
            </w:r>
            <w:r>
              <w:rPr>
                <w:sz w:val="24"/>
                <w:szCs w:val="24"/>
              </w:rPr>
              <w:t>/</w:t>
            </w:r>
            <w:r>
              <w:rPr>
                <w:rFonts w:hint="eastAsia"/>
                <w:sz w:val="24"/>
                <w:szCs w:val="24"/>
              </w:rPr>
              <w:t>年</w:t>
            </w:r>
            <w:r>
              <w:rPr>
                <w:sz w:val="24"/>
                <w:szCs w:val="24"/>
              </w:rPr>
              <w:t>Skyfor Cube</w:t>
            </w:r>
            <w:r>
              <w:rPr>
                <w:rFonts w:hint="eastAsia"/>
                <w:sz w:val="24"/>
                <w:szCs w:val="24"/>
              </w:rPr>
              <w:t>高科技信息化系统集成专用设备生产线。</w:t>
            </w:r>
          </w:p>
          <w:p>
            <w:pPr>
              <w:spacing w:line="400" w:lineRule="exact"/>
              <w:ind w:firstLine="474" w:firstLineChars="200"/>
              <w:rPr>
                <w:rFonts w:eastAsia="仿宋_GB2312"/>
                <w:sz w:val="24"/>
                <w:szCs w:val="24"/>
              </w:rPr>
            </w:pPr>
            <w:r>
              <w:rPr>
                <w:rFonts w:hint="eastAsia"/>
                <w:b/>
                <w:bCs/>
                <w:sz w:val="24"/>
                <w:szCs w:val="24"/>
              </w:rPr>
              <w:t>公共服务能力提升工程。</w:t>
            </w:r>
            <w:r>
              <w:rPr>
                <w:rFonts w:hint="eastAsia"/>
                <w:sz w:val="24"/>
                <w:szCs w:val="24"/>
              </w:rPr>
              <w:t>重点围绕政府网络化管理服务、大力发展以互联网为载体、线上线下互动的新兴消费，加快发展基于互联网的健康医疗、教育、养老、旅游、社会保障等，建成一批智慧民生服务、政务服务和社会治理平台，实施一批新型服务试点示范。</w:t>
            </w:r>
          </w:p>
        </w:tc>
      </w:tr>
    </w:tbl>
    <w:p>
      <w:pPr>
        <w:pStyle w:val="3"/>
        <w:spacing w:before="0" w:after="0" w:line="580" w:lineRule="exact"/>
        <w:jc w:val="center"/>
        <w:rPr>
          <w:rFonts w:ascii="Times New Roman" w:hAnsi="Times New Roman" w:eastAsia="方正楷体_GBK" w:cs="Times New Roman"/>
        </w:rPr>
      </w:pPr>
      <w:bookmarkStart w:id="64" w:name="_Toc28261"/>
      <w:bookmarkStart w:id="65" w:name="_Toc18620"/>
      <w:bookmarkStart w:id="66" w:name="_Toc440730881"/>
      <w:bookmarkStart w:id="67" w:name="_Toc440292084"/>
      <w:r>
        <w:rPr>
          <w:rFonts w:hint="eastAsia" w:ascii="Times New Roman" w:hAnsi="Times New Roman" w:eastAsia="方正楷体_GBK" w:cs="Times New Roman"/>
        </w:rPr>
        <w:t>第五章</w:t>
      </w:r>
      <w:r>
        <w:rPr>
          <w:rFonts w:ascii="Times New Roman" w:hAnsi="Times New Roman" w:eastAsia="方正楷体_GBK" w:cs="Times New Roman"/>
        </w:rPr>
        <w:t xml:space="preserve">  </w:t>
      </w:r>
      <w:r>
        <w:rPr>
          <w:rFonts w:hint="eastAsia" w:ascii="Times New Roman" w:hAnsi="Times New Roman" w:eastAsia="方正楷体_GBK" w:cs="Times New Roman"/>
        </w:rPr>
        <w:t>深入实施创新驱动发展战略</w:t>
      </w:r>
      <w:bookmarkEnd w:id="64"/>
      <w:bookmarkEnd w:id="65"/>
    </w:p>
    <w:p>
      <w:pPr>
        <w:widowControl/>
        <w:spacing w:line="580" w:lineRule="exact"/>
        <w:ind w:firstLine="632" w:firstLineChars="200"/>
      </w:pPr>
      <w:r>
        <w:rPr>
          <w:rFonts w:hint="eastAsia"/>
        </w:rPr>
        <w:t>坚持把创新驱动作为发展的重要引擎，大力推进大众创业万众创新。加大科技创新力度，强化观念创新和思维方式创新，推进产品创新、业态创新、商业模式创新。紧扣经济社会发展需要，完善激励创新机制体制，提高创新能力和科研成果转化率，打造区域性创新高地。</w:t>
      </w:r>
    </w:p>
    <w:p>
      <w:pPr>
        <w:pStyle w:val="4"/>
        <w:spacing w:before="0" w:after="0" w:line="580" w:lineRule="exact"/>
        <w:jc w:val="center"/>
        <w:rPr>
          <w:rFonts w:eastAsia="方正仿宋_GBK"/>
        </w:rPr>
      </w:pPr>
      <w:bookmarkStart w:id="68" w:name="_Toc441"/>
      <w:bookmarkStart w:id="69" w:name="_Toc7770"/>
      <w:r>
        <w:rPr>
          <w:rFonts w:hint="eastAsia" w:eastAsia="方正仿宋_GBK"/>
        </w:rPr>
        <w:t>第一节</w:t>
      </w:r>
      <w:r>
        <w:rPr>
          <w:rFonts w:eastAsia="方正仿宋_GBK"/>
        </w:rPr>
        <w:t xml:space="preserve">  </w:t>
      </w:r>
      <w:r>
        <w:rPr>
          <w:rFonts w:hint="eastAsia" w:eastAsia="方正仿宋_GBK"/>
        </w:rPr>
        <w:t>推进大众创业万众创新</w:t>
      </w:r>
      <w:bookmarkEnd w:id="68"/>
      <w:bookmarkEnd w:id="69"/>
    </w:p>
    <w:p>
      <w:pPr>
        <w:shd w:val="clear" w:color="auto" w:fill="FFFFFF"/>
        <w:spacing w:line="580" w:lineRule="exact"/>
        <w:ind w:firstLine="632" w:firstLineChars="200"/>
        <w:rPr>
          <w:kern w:val="0"/>
        </w:rPr>
      </w:pPr>
      <w:r>
        <w:rPr>
          <w:rFonts w:hint="eastAsia"/>
          <w:kern w:val="0"/>
        </w:rPr>
        <w:t>坚持市场导向、加强政策支持、强化开放共享、创新服务模式，放宽政策、放开市场，优化劳动力、资本、技术等要素配置，激发亿万群众智慧和创造力，让创业创新成为时代潮流，汇聚起经济社会发展的强大新动能。</w:t>
      </w:r>
    </w:p>
    <w:p>
      <w:pPr>
        <w:shd w:val="clear" w:color="auto" w:fill="FFFFFF"/>
        <w:spacing w:line="580" w:lineRule="exact"/>
        <w:ind w:firstLine="634" w:firstLineChars="200"/>
        <w:rPr>
          <w:kern w:val="0"/>
        </w:rPr>
      </w:pPr>
      <w:r>
        <w:rPr>
          <w:rFonts w:hint="eastAsia"/>
          <w:b/>
          <w:bCs/>
          <w:kern w:val="0"/>
        </w:rPr>
        <w:t>培育创业创新群体。</w:t>
      </w:r>
      <w:r>
        <w:rPr>
          <w:rFonts w:hint="eastAsia"/>
          <w:kern w:val="0"/>
        </w:rPr>
        <w:t>推动科研机构、大中专院校的科技人员从事技术开发、技术转让、技术咨询、技术服务并积极创办、领办民营科技企业和中介科技服务组织；推动基层农技人员利用自身技术和资源优势，承包荒山、水面，创办、领办农业专业合作经济组织；推动大中专毕业生创办咨询、信息、技术中介、文化创意和教育培训等服务业，实现自主创业就业；推动城镇居民创办与居民生活密切相关的社区服务“家庭公司”，促进农村居民创办“家庭工业”，推进农民工返乡创业。以青年和大学生创业创新者、连续创业者和留学归国创业者等为重点，培育一批创客</w:t>
      </w:r>
      <w:r>
        <w:rPr>
          <w:rStyle w:val="8"/>
        </w:rPr>
        <w:footnoteReference w:id="12"/>
      </w:r>
      <w:r>
        <w:rPr>
          <w:rFonts w:hint="eastAsia"/>
          <w:kern w:val="0"/>
        </w:rPr>
        <w:t>和极客</w:t>
      </w:r>
      <w:r>
        <w:rPr>
          <w:rStyle w:val="8"/>
        </w:rPr>
        <w:footnoteReference w:id="13"/>
      </w:r>
      <w:r>
        <w:rPr>
          <w:rFonts w:hint="eastAsia"/>
          <w:kern w:val="0"/>
        </w:rPr>
        <w:t>。</w:t>
      </w:r>
    </w:p>
    <w:p>
      <w:pPr>
        <w:shd w:val="clear" w:color="auto" w:fill="FFFFFF"/>
        <w:spacing w:line="580" w:lineRule="exact"/>
        <w:ind w:firstLine="634" w:firstLineChars="200"/>
        <w:rPr>
          <w:kern w:val="0"/>
        </w:rPr>
      </w:pPr>
      <w:r>
        <w:rPr>
          <w:rFonts w:hint="eastAsia"/>
          <w:b/>
          <w:bCs/>
          <w:kern w:val="0"/>
        </w:rPr>
        <w:t>积极发展众创众包众扶众筹</w:t>
      </w:r>
      <w:r>
        <w:rPr>
          <w:rStyle w:val="8"/>
        </w:rPr>
        <w:footnoteReference w:id="14"/>
      </w:r>
      <w:r>
        <w:rPr>
          <w:rFonts w:hint="eastAsia"/>
          <w:b/>
          <w:bCs/>
          <w:kern w:val="0"/>
        </w:rPr>
        <w:t>。</w:t>
      </w:r>
      <w:r>
        <w:rPr>
          <w:rFonts w:hint="eastAsia"/>
          <w:kern w:val="0"/>
        </w:rPr>
        <w:t>充分利用“互联网</w:t>
      </w:r>
      <w:r>
        <w:rPr>
          <w:kern w:val="0"/>
        </w:rPr>
        <w:t>+</w:t>
      </w:r>
      <w:r>
        <w:rPr>
          <w:rFonts w:hint="eastAsia"/>
          <w:kern w:val="0"/>
        </w:rPr>
        <w:t>”，推动技术、开发、营销等资源共享，促进生产与需求对接、传统产业与新兴产业融合。大力发展众创平台，提供开放共享服务，集聚各类创新资源，吸引更多人参与创新创造，拓展创业新空间。鼓励用众包等模式促进生产方式变革，聚合员工智慧和社会创意开展设计研发、生产制造和运营维护。通过政府和公益机构支持、企业帮扶援助、个人互助互扶等多种方式，构建立体式众扶平台，助推小微企业和创业者成长。发展实物、股权众筹和网络借贷，有效拓宽金融体系服务创业创新的新渠道新功能。</w:t>
      </w:r>
    </w:p>
    <w:p>
      <w:pPr>
        <w:shd w:val="clear" w:color="auto" w:fill="FFFFFF"/>
        <w:spacing w:line="580" w:lineRule="exact"/>
        <w:ind w:firstLine="634" w:firstLineChars="200"/>
        <w:rPr>
          <w:b/>
          <w:bCs/>
          <w:kern w:val="0"/>
        </w:rPr>
      </w:pPr>
      <w:r>
        <w:rPr>
          <w:rFonts w:hint="eastAsia"/>
          <w:b/>
          <w:bCs/>
          <w:kern w:val="0"/>
        </w:rPr>
        <w:t>建设创业创新平台。</w:t>
      </w:r>
      <w:r>
        <w:rPr>
          <w:rFonts w:hint="eastAsia"/>
          <w:kern w:val="0"/>
        </w:rPr>
        <w:t>形成组织网络化、功能社会化和服务产业化的创业创新基地，集聚新资源，拓展新空间，降低成本，提高效益。以各类开发区、工业园区和农业科技示范园区等为依托，充分发挥信阳师范学院、信阳农林学院、信阳职业技术学院和信阳农科院等各种教育科研机构在创新中的引领和骨干作用，加强与北京、上海、深圳等创新资源密集区域的技术合作，在电子信息、智能家居、现代中药、非金属矿加工、羽绒服装、农产品加工等优势产业领域，建设一批产业技术创新联盟</w:t>
      </w:r>
      <w:r>
        <w:rPr>
          <w:rStyle w:val="8"/>
        </w:rPr>
        <w:footnoteReference w:id="15"/>
      </w:r>
      <w:r>
        <w:rPr>
          <w:rFonts w:hint="eastAsia"/>
          <w:kern w:val="0"/>
        </w:rPr>
        <w:t>。充分发挥现有创业创新服务中心和创业创新实践基地等作用，加快推广创客空间、创客咖啡、开源社区</w:t>
      </w:r>
      <w:r>
        <w:rPr>
          <w:rStyle w:val="8"/>
        </w:rPr>
        <w:footnoteReference w:id="16"/>
      </w:r>
      <w:r>
        <w:rPr>
          <w:rFonts w:hint="eastAsia"/>
          <w:kern w:val="0"/>
        </w:rPr>
        <w:t>、社会实验室等信息化程度高、研发成本低、全要素的开放性众创空间，培育大学生创业园，建设好信阳高科技孵化园暨河南省归国人员创业园，支持淮滨等县建设循环经济科技创新园区。</w:t>
      </w:r>
    </w:p>
    <w:p>
      <w:pPr>
        <w:shd w:val="clear" w:color="auto" w:fill="FFFFFF"/>
        <w:spacing w:line="580" w:lineRule="exact"/>
        <w:ind w:firstLine="634" w:firstLineChars="200"/>
      </w:pPr>
      <w:r>
        <w:rPr>
          <w:rFonts w:hint="eastAsia"/>
          <w:b/>
          <w:bCs/>
          <w:kern w:val="0"/>
        </w:rPr>
        <w:t>厚植创业创新文化。</w:t>
      </w:r>
      <w:r>
        <w:rPr>
          <w:rFonts w:hint="eastAsia"/>
          <w:kern w:val="0"/>
        </w:rPr>
        <w:t>大力培育适宜科技创业创新的文化土壤，鼓励举办各具特色的创新创业竞赛和活动。加强媒体对创业创新的新闻宣传和舆论引导，树立一批创业创新典型人物。积极创建创业型城市、小微企业创业基地城市。</w:t>
      </w:r>
    </w:p>
    <w:tbl>
      <w:tblPr>
        <w:tblStyle w:val="7"/>
        <w:tblW w:w="8293" w:type="dxa"/>
        <w:jc w:val="center"/>
        <w:tblInd w:w="0" w:type="dxa"/>
        <w:tblLayout w:type="fixed"/>
        <w:tblCellMar>
          <w:top w:w="0" w:type="dxa"/>
          <w:left w:w="108" w:type="dxa"/>
          <w:bottom w:w="0" w:type="dxa"/>
          <w:right w:w="108" w:type="dxa"/>
        </w:tblCellMar>
      </w:tblPr>
      <w:tblGrid>
        <w:gridCol w:w="8293"/>
      </w:tblGrid>
      <w:tr>
        <w:tblPrEx>
          <w:tblLayout w:type="fixed"/>
          <w:tblCellMar>
            <w:top w:w="0" w:type="dxa"/>
            <w:left w:w="108" w:type="dxa"/>
            <w:bottom w:w="0" w:type="dxa"/>
            <w:right w:w="108" w:type="dxa"/>
          </w:tblCellMar>
        </w:tblPrEx>
        <w:trPr>
          <w:trHeight w:val="527" w:hRule="atLeast"/>
          <w:jc w:val="center"/>
        </w:trPr>
        <w:tc>
          <w:tcPr>
            <w:tcW w:w="82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eastAsia="方正小标宋_GBK"/>
                <w:sz w:val="28"/>
                <w:szCs w:val="24"/>
                <w:highlight w:val="yellow"/>
              </w:rPr>
            </w:pPr>
            <w:bookmarkStart w:id="70" w:name="_Toc30562"/>
            <w:r>
              <w:rPr>
                <w:rFonts w:hint="eastAsia" w:eastAsia="方正小标宋_GBK"/>
                <w:sz w:val="28"/>
                <w:szCs w:val="24"/>
              </w:rPr>
              <w:t>专栏</w:t>
            </w:r>
            <w:r>
              <w:rPr>
                <w:rFonts w:eastAsia="方正小标宋_GBK"/>
                <w:sz w:val="28"/>
                <w:szCs w:val="24"/>
              </w:rPr>
              <w:t>15</w:t>
            </w:r>
            <w:r>
              <w:rPr>
                <w:rFonts w:hint="eastAsia" w:eastAsia="方正小标宋_GBK"/>
                <w:sz w:val="28"/>
                <w:szCs w:val="24"/>
              </w:rPr>
              <w:t>：大众创业万众创新重点工程</w:t>
            </w:r>
          </w:p>
        </w:tc>
      </w:tr>
      <w:tr>
        <w:tblPrEx>
          <w:tblLayout w:type="fixed"/>
          <w:tblCellMar>
            <w:top w:w="0" w:type="dxa"/>
            <w:left w:w="108" w:type="dxa"/>
            <w:bottom w:w="0" w:type="dxa"/>
            <w:right w:w="108" w:type="dxa"/>
          </w:tblCellMar>
        </w:tblPrEx>
        <w:trPr>
          <w:trHeight w:val="614" w:hRule="atLeast"/>
          <w:jc w:val="center"/>
        </w:trPr>
        <w:tc>
          <w:tcPr>
            <w:tcW w:w="8293"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b/>
                <w:bCs/>
                <w:sz w:val="24"/>
                <w:szCs w:val="24"/>
              </w:rPr>
            </w:pPr>
            <w:r>
              <w:rPr>
                <w:rFonts w:hint="eastAsia"/>
                <w:b/>
                <w:bCs/>
                <w:sz w:val="24"/>
                <w:szCs w:val="24"/>
              </w:rPr>
              <w:t>科研基础设施工程。</w:t>
            </w:r>
            <w:r>
              <w:rPr>
                <w:rFonts w:hint="eastAsia"/>
                <w:sz w:val="24"/>
                <w:szCs w:val="24"/>
              </w:rPr>
              <w:t>实施加强科技创新基础条件建设、加强科技创新机构及基地建设、加强创新研发中心建设等</w:t>
            </w:r>
            <w:r>
              <w:rPr>
                <w:sz w:val="24"/>
                <w:szCs w:val="24"/>
              </w:rPr>
              <w:t>30</w:t>
            </w:r>
            <w:r>
              <w:rPr>
                <w:rFonts w:hint="eastAsia"/>
                <w:sz w:val="24"/>
                <w:szCs w:val="24"/>
              </w:rPr>
              <w:t>个项目。</w:t>
            </w:r>
          </w:p>
          <w:p>
            <w:pPr>
              <w:spacing w:line="400" w:lineRule="exact"/>
              <w:ind w:firstLine="474" w:firstLineChars="200"/>
              <w:rPr>
                <w:sz w:val="24"/>
                <w:szCs w:val="24"/>
              </w:rPr>
            </w:pPr>
            <w:r>
              <w:rPr>
                <w:rFonts w:hint="eastAsia"/>
                <w:b/>
                <w:bCs/>
                <w:sz w:val="24"/>
                <w:szCs w:val="24"/>
              </w:rPr>
              <w:t>科技信息开放共享工程。</w:t>
            </w:r>
            <w:r>
              <w:rPr>
                <w:rFonts w:hint="eastAsia"/>
                <w:sz w:val="24"/>
                <w:szCs w:val="24"/>
              </w:rPr>
              <w:t>积极参与构建创新创业云服务平台，实现科技资源、科技数据、科技服务和科技管理的互联互通。</w:t>
            </w:r>
          </w:p>
          <w:p>
            <w:pPr>
              <w:spacing w:line="400" w:lineRule="exact"/>
              <w:ind w:firstLine="474" w:firstLineChars="200"/>
              <w:rPr>
                <w:sz w:val="24"/>
                <w:szCs w:val="24"/>
              </w:rPr>
            </w:pPr>
            <w:r>
              <w:rPr>
                <w:rFonts w:hint="eastAsia"/>
                <w:b/>
                <w:bCs/>
                <w:sz w:val="24"/>
                <w:szCs w:val="24"/>
              </w:rPr>
              <w:t>众创空间建设工程。</w:t>
            </w:r>
            <w:r>
              <w:rPr>
                <w:rFonts w:hint="eastAsia"/>
                <w:sz w:val="24"/>
                <w:szCs w:val="24"/>
              </w:rPr>
              <w:t>支持多元化主体建设科技企业孵化器等创业服务载体，到</w:t>
            </w:r>
            <w:r>
              <w:rPr>
                <w:sz w:val="24"/>
                <w:szCs w:val="24"/>
              </w:rPr>
              <w:t>2020</w:t>
            </w:r>
            <w:r>
              <w:rPr>
                <w:rFonts w:hint="eastAsia"/>
                <w:sz w:val="24"/>
                <w:szCs w:val="24"/>
              </w:rPr>
              <w:t>年，在全市建成</w:t>
            </w:r>
            <w:r>
              <w:rPr>
                <w:sz w:val="24"/>
                <w:szCs w:val="24"/>
              </w:rPr>
              <w:t>40</w:t>
            </w:r>
            <w:r>
              <w:rPr>
                <w:rFonts w:hint="eastAsia"/>
                <w:sz w:val="24"/>
                <w:szCs w:val="24"/>
              </w:rPr>
              <w:t>个左右众创空间。</w:t>
            </w:r>
          </w:p>
          <w:p>
            <w:pPr>
              <w:spacing w:line="400" w:lineRule="exact"/>
              <w:ind w:firstLine="474" w:firstLineChars="200"/>
              <w:rPr>
                <w:rFonts w:eastAsia="仿宋_GB2312"/>
                <w:sz w:val="24"/>
                <w:szCs w:val="24"/>
                <w:shd w:val="clear" w:color="auto" w:fill="7F7F7F"/>
              </w:rPr>
            </w:pPr>
            <w:r>
              <w:rPr>
                <w:rFonts w:hint="eastAsia"/>
                <w:b/>
                <w:bCs/>
                <w:sz w:val="24"/>
                <w:szCs w:val="24"/>
              </w:rPr>
              <w:t>创新创业活动工程。</w:t>
            </w:r>
            <w:r>
              <w:rPr>
                <w:rFonts w:hint="eastAsia"/>
                <w:sz w:val="24"/>
                <w:szCs w:val="24"/>
              </w:rPr>
              <w:t>支持科技企业孵化器、大学科技园、众创空间、小企业创业基地、高校、龙头企业等举办各种创业大赛、创业沙龙、创业讲堂、创业训练营等活动。</w:t>
            </w:r>
          </w:p>
        </w:tc>
      </w:tr>
    </w:tbl>
    <w:p>
      <w:pPr>
        <w:pStyle w:val="4"/>
        <w:spacing w:before="0" w:after="0" w:line="580" w:lineRule="exact"/>
        <w:jc w:val="center"/>
        <w:rPr>
          <w:rFonts w:eastAsia="方正仿宋_GBK"/>
        </w:rPr>
      </w:pPr>
      <w:bookmarkStart w:id="71" w:name="_Toc16624"/>
      <w:r>
        <w:rPr>
          <w:rFonts w:hint="eastAsia" w:eastAsia="方正仿宋_GBK"/>
        </w:rPr>
        <w:t>第二节</w:t>
      </w:r>
      <w:r>
        <w:rPr>
          <w:rFonts w:eastAsia="方正仿宋_GBK"/>
        </w:rPr>
        <w:t xml:space="preserve">  </w:t>
      </w:r>
      <w:r>
        <w:rPr>
          <w:rFonts w:hint="eastAsia" w:eastAsia="方正仿宋_GBK"/>
        </w:rPr>
        <w:t>增强自主创新能力</w:t>
      </w:r>
      <w:bookmarkEnd w:id="70"/>
      <w:bookmarkEnd w:id="71"/>
    </w:p>
    <w:p>
      <w:pPr>
        <w:widowControl/>
        <w:spacing w:line="580" w:lineRule="exact"/>
        <w:ind w:firstLine="632" w:firstLineChars="200"/>
        <w:rPr>
          <w:color w:val="000000"/>
          <w:shd w:val="clear" w:color="auto" w:fill="FFFFFF"/>
        </w:rPr>
      </w:pPr>
      <w:r>
        <w:rPr>
          <w:rFonts w:hint="eastAsia"/>
          <w:color w:val="000000"/>
          <w:shd w:val="clear" w:color="auto" w:fill="FFFFFF"/>
        </w:rPr>
        <w:t>进一步深化科技体制改革，优化财税政策，完善创新体制机制，为创新发展提供制度保障，稳步提升自主创新能力。</w:t>
      </w:r>
    </w:p>
    <w:p>
      <w:pPr>
        <w:spacing w:line="580" w:lineRule="exact"/>
        <w:ind w:firstLine="634" w:firstLineChars="200"/>
        <w:rPr>
          <w:color w:val="000000"/>
          <w:shd w:val="clear" w:color="auto" w:fill="FFFFFF"/>
        </w:rPr>
      </w:pPr>
      <w:r>
        <w:rPr>
          <w:rFonts w:hint="eastAsia"/>
          <w:b/>
          <w:bCs/>
          <w:color w:val="000000"/>
          <w:shd w:val="clear" w:color="auto" w:fill="FFFFFF"/>
        </w:rPr>
        <w:t>深化科技体制改革。</w:t>
      </w:r>
      <w:r>
        <w:rPr>
          <w:rFonts w:hint="eastAsia"/>
          <w:color w:val="000000"/>
          <w:shd w:val="clear" w:color="auto" w:fill="FFFFFF"/>
        </w:rPr>
        <w:t>政府科技资金优先支持产学研用结合的研发平台建设、引进吸收再创新、集成创新和有明确应用前景的原始创新。鼓励企业与高等院校、科研机构及重要用户建立以产权为纽带的各类技术创新合作组织，广泛开展应用研究和成果转化。加强自主知识产权的创造、运用、保护和管理，建立健全知识产权保护体系，加大知识产权保护力度。</w:t>
      </w:r>
    </w:p>
    <w:p>
      <w:pPr>
        <w:spacing w:line="580" w:lineRule="exact"/>
        <w:ind w:firstLine="634" w:firstLineChars="200"/>
        <w:rPr>
          <w:color w:val="000000"/>
          <w:shd w:val="clear" w:color="auto" w:fill="FFFFFF"/>
        </w:rPr>
      </w:pPr>
      <w:r>
        <w:rPr>
          <w:rFonts w:hint="eastAsia"/>
          <w:b/>
          <w:bCs/>
          <w:color w:val="000000"/>
          <w:shd w:val="clear" w:color="auto" w:fill="FFFFFF"/>
        </w:rPr>
        <w:t>优化财税政策。</w:t>
      </w:r>
      <w:r>
        <w:rPr>
          <w:rFonts w:hint="eastAsia"/>
          <w:color w:val="000000"/>
          <w:shd w:val="clear" w:color="auto" w:fill="FFFFFF"/>
        </w:rPr>
        <w:t>加大财政资金支持和统筹力度，设立创业创新基金，统筹安排各类支持小微企业和创业创新的资金，鼓励对众创空间等孵化机构的办公用房、用水、用能、网络等软硬件设施给予适当优惠，减轻创业者负担。发挥政府采购支持作用，完善促进中小企业发展的政府采购政策，督促采购单位改进采购计划和项目预留管理，加大创新产品和服务的采购力度。</w:t>
      </w:r>
    </w:p>
    <w:p>
      <w:pPr>
        <w:widowControl/>
        <w:spacing w:line="580" w:lineRule="exact"/>
        <w:ind w:firstLine="634" w:firstLineChars="200"/>
        <w:rPr>
          <w:color w:val="000000"/>
          <w:shd w:val="clear" w:color="auto" w:fill="FFFFFF"/>
        </w:rPr>
      </w:pPr>
      <w:r>
        <w:rPr>
          <w:rFonts w:hint="eastAsia"/>
          <w:b/>
          <w:bCs/>
          <w:color w:val="000000"/>
          <w:shd w:val="clear" w:color="auto" w:fill="FFFFFF"/>
        </w:rPr>
        <w:t>发挥创业创新服务职能。</w:t>
      </w:r>
      <w:r>
        <w:rPr>
          <w:rFonts w:hint="eastAsia"/>
          <w:color w:val="000000"/>
          <w:shd w:val="clear" w:color="auto" w:fill="FFFFFF"/>
        </w:rPr>
        <w:t>在全社会建立健全创新服务体系，提供优质高效服务。依托各类行业协会，强化中介组织职能，建立创新创业指导中心，为创业创新人员提供信息咨询、项目指导、人力资源、法律援助、产权交易、资产评估、专利服务等各类服务。</w:t>
      </w:r>
    </w:p>
    <w:p>
      <w:pPr>
        <w:pStyle w:val="4"/>
        <w:spacing w:before="0" w:after="0" w:line="580" w:lineRule="exact"/>
        <w:jc w:val="center"/>
        <w:rPr>
          <w:rFonts w:eastAsia="方正仿宋_GBK"/>
        </w:rPr>
      </w:pPr>
      <w:bookmarkStart w:id="72" w:name="_Toc24744"/>
      <w:bookmarkStart w:id="73" w:name="_Toc16012"/>
      <w:r>
        <w:rPr>
          <w:rFonts w:hint="eastAsia" w:eastAsia="方正仿宋_GBK"/>
        </w:rPr>
        <w:t>第三节</w:t>
      </w:r>
      <w:r>
        <w:rPr>
          <w:rFonts w:eastAsia="方正仿宋_GBK"/>
        </w:rPr>
        <w:t xml:space="preserve">  </w:t>
      </w:r>
      <w:r>
        <w:rPr>
          <w:rFonts w:hint="eastAsia" w:eastAsia="方正仿宋_GBK"/>
        </w:rPr>
        <w:t>提升企业创新水平</w:t>
      </w:r>
      <w:bookmarkEnd w:id="72"/>
      <w:bookmarkEnd w:id="73"/>
    </w:p>
    <w:p>
      <w:pPr>
        <w:widowControl/>
        <w:spacing w:line="580" w:lineRule="exact"/>
        <w:ind w:firstLine="632" w:firstLineChars="200"/>
        <w:rPr>
          <w:rFonts w:eastAsia="仿宋_GB2312"/>
        </w:rPr>
      </w:pPr>
      <w:r>
        <w:rPr>
          <w:rFonts w:hint="eastAsia"/>
        </w:rPr>
        <w:t>实施企业创新能力培育工程，强化企业在技术创新体系中的关键作用。以应用为导向，推进创新链与产业链深度融合，加大统筹利用创新资源力度，提升原始创新、集成创新和引进消化吸收再创新能力。调整创新决策和组织模式，建立高层次、常态化的企业技术创新对话、咨询制度。加强创新型企业培育，形成一批有竞争力的领军企业。支持行业骨干企业与高等学校、科研院所、上下游企业等相互合作，突破制约我市主导产业链式发展的关键核心技术。鼓励优势科研机构和中小型科研单位资源共享，支持科研机构市场化运作，形成一批科技研发、应用推广与产业化经营紧密结合的现代科研院所。</w:t>
      </w:r>
      <w:r>
        <w:t xml:space="preserve"> </w:t>
      </w:r>
    </w:p>
    <w:tbl>
      <w:tblPr>
        <w:tblStyle w:val="7"/>
        <w:tblW w:w="8325" w:type="dxa"/>
        <w:tblInd w:w="0" w:type="dxa"/>
        <w:tblLayout w:type="fixed"/>
        <w:tblCellMar>
          <w:top w:w="0" w:type="dxa"/>
          <w:left w:w="108" w:type="dxa"/>
          <w:bottom w:w="0" w:type="dxa"/>
          <w:right w:w="108" w:type="dxa"/>
        </w:tblCellMar>
      </w:tblPr>
      <w:tblGrid>
        <w:gridCol w:w="8325"/>
      </w:tblGrid>
      <w:tr>
        <w:tblPrEx>
          <w:tblLayout w:type="fixed"/>
          <w:tblCellMar>
            <w:top w:w="0" w:type="dxa"/>
            <w:left w:w="108" w:type="dxa"/>
            <w:bottom w:w="0" w:type="dxa"/>
            <w:right w:w="108" w:type="dxa"/>
          </w:tblCellMar>
        </w:tblPrEx>
        <w:trPr>
          <w:trHeight w:val="527" w:hRule="atLeast"/>
        </w:trPr>
        <w:tc>
          <w:tcPr>
            <w:tcW w:w="832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eastAsia="仿宋_GB2312"/>
                <w:b/>
                <w:bCs/>
                <w:sz w:val="24"/>
                <w:szCs w:val="24"/>
                <w:highlight w:val="yellow"/>
              </w:rPr>
            </w:pPr>
            <w:r>
              <w:rPr>
                <w:rFonts w:hint="eastAsia" w:eastAsia="方正小标宋_GBK"/>
                <w:sz w:val="28"/>
                <w:szCs w:val="24"/>
              </w:rPr>
              <w:t>专栏</w:t>
            </w:r>
            <w:r>
              <w:rPr>
                <w:rFonts w:eastAsia="方正小标宋_GBK"/>
                <w:sz w:val="28"/>
                <w:szCs w:val="24"/>
              </w:rPr>
              <w:t>16</w:t>
            </w:r>
            <w:r>
              <w:rPr>
                <w:rFonts w:hint="eastAsia" w:eastAsia="方正小标宋_GBK"/>
                <w:sz w:val="28"/>
                <w:szCs w:val="24"/>
              </w:rPr>
              <w:t>：科技创新重点工程</w:t>
            </w:r>
          </w:p>
        </w:tc>
      </w:tr>
      <w:tr>
        <w:tblPrEx>
          <w:tblLayout w:type="fixed"/>
          <w:tblCellMar>
            <w:top w:w="0" w:type="dxa"/>
            <w:left w:w="108" w:type="dxa"/>
            <w:bottom w:w="0" w:type="dxa"/>
            <w:right w:w="108" w:type="dxa"/>
          </w:tblCellMar>
        </w:tblPrEx>
        <w:trPr>
          <w:trHeight w:val="2735" w:hRule="atLeast"/>
        </w:trPr>
        <w:tc>
          <w:tcPr>
            <w:tcW w:w="8325" w:type="dxa"/>
            <w:tcBorders>
              <w:top w:val="single" w:color="auto" w:sz="4" w:space="0"/>
              <w:left w:val="single" w:color="auto" w:sz="4" w:space="0"/>
              <w:bottom w:val="single" w:color="auto" w:sz="4" w:space="0"/>
              <w:right w:val="single" w:color="auto" w:sz="4" w:space="0"/>
            </w:tcBorders>
            <w:vAlign w:val="top"/>
          </w:tcPr>
          <w:p>
            <w:pPr>
              <w:spacing w:line="400" w:lineRule="exact"/>
              <w:ind w:firstLine="472" w:firstLineChars="200"/>
              <w:rPr>
                <w:sz w:val="24"/>
                <w:szCs w:val="24"/>
              </w:rPr>
            </w:pPr>
            <w:r>
              <w:rPr>
                <w:rFonts w:hint="eastAsia"/>
                <w:sz w:val="24"/>
                <w:szCs w:val="24"/>
              </w:rPr>
              <w:t>企业技术创新培育工程。培育高新技术企业、创新型企业和技术创新示范企业、科技型中小企业。建设产学研合作、检测检验等服务平台，实现龙头企业科技研发机构全覆盖。支持信阳农林学院、信阳农科院建设特色农林业科研成果转化平台。</w:t>
            </w:r>
          </w:p>
          <w:p>
            <w:pPr>
              <w:spacing w:line="400" w:lineRule="exact"/>
              <w:ind w:firstLine="472" w:firstLineChars="200"/>
              <w:rPr>
                <w:rFonts w:eastAsia="仿宋_GB2312"/>
                <w:sz w:val="24"/>
                <w:szCs w:val="24"/>
              </w:rPr>
            </w:pPr>
            <w:r>
              <w:rPr>
                <w:rFonts w:hint="eastAsia"/>
                <w:sz w:val="24"/>
                <w:szCs w:val="24"/>
              </w:rPr>
              <w:t>重大科技专项工程。在先进制造业领域组织实施电子信息、节能环保、非金属新材料等若干个重大科技专项。在农业科技领域重点实施豫南黑猪、茶叶、油茶、水稻良种繁育等领域中技术的开发、推广与应用。</w:t>
            </w:r>
          </w:p>
        </w:tc>
      </w:tr>
    </w:tbl>
    <w:p>
      <w:pPr>
        <w:pStyle w:val="3"/>
        <w:spacing w:before="0" w:after="0" w:line="580" w:lineRule="exact"/>
        <w:jc w:val="center"/>
        <w:rPr>
          <w:rFonts w:ascii="Times New Roman" w:hAnsi="Times New Roman" w:eastAsia="方正楷体_GBK" w:cs="Times New Roman"/>
        </w:rPr>
      </w:pPr>
      <w:bookmarkStart w:id="74" w:name="_Toc26250"/>
      <w:bookmarkStart w:id="75" w:name="_Toc31360"/>
      <w:r>
        <w:rPr>
          <w:rFonts w:hint="eastAsia" w:ascii="Times New Roman" w:hAnsi="Times New Roman" w:eastAsia="方正楷体_GBK" w:cs="Times New Roman"/>
        </w:rPr>
        <w:t>第六章</w:t>
      </w:r>
      <w:r>
        <w:rPr>
          <w:rFonts w:ascii="Times New Roman" w:hAnsi="Times New Roman" w:eastAsia="方正楷体_GBK" w:cs="Times New Roman"/>
        </w:rPr>
        <w:t xml:space="preserve">  </w:t>
      </w:r>
      <w:r>
        <w:rPr>
          <w:rFonts w:hint="eastAsia" w:ascii="Times New Roman" w:hAnsi="Times New Roman" w:eastAsia="方正楷体_GBK" w:cs="Times New Roman"/>
        </w:rPr>
        <w:t>着力构建发展新体制</w:t>
      </w:r>
      <w:bookmarkEnd w:id="66"/>
      <w:bookmarkEnd w:id="74"/>
      <w:bookmarkEnd w:id="75"/>
    </w:p>
    <w:p>
      <w:pPr>
        <w:spacing w:line="580" w:lineRule="exact"/>
        <w:ind w:firstLine="632" w:firstLineChars="200"/>
        <w:rPr>
          <w:rFonts w:ascii="方正仿宋_GBK" w:hAnsi="方正仿宋_GBK"/>
          <w:b/>
          <w:bCs/>
          <w:color w:val="000000"/>
          <w:shd w:val="clear" w:color="auto" w:fill="FFFFFF"/>
        </w:rPr>
      </w:pPr>
      <w:r>
        <w:rPr>
          <w:rFonts w:hint="eastAsia" w:ascii="方正仿宋_GBK" w:hAnsi="方正仿宋_GBK"/>
          <w:color w:val="000000"/>
        </w:rPr>
        <w:t>建立健全市场在资源配置中起决定作用和更好发挥政府作用的制度体系，形成有利于创新发展的体制机制，建设统一开放、竞争有序的市场体系。</w:t>
      </w:r>
    </w:p>
    <w:p>
      <w:pPr>
        <w:pStyle w:val="4"/>
        <w:spacing w:before="0" w:after="0" w:line="580" w:lineRule="exact"/>
        <w:jc w:val="center"/>
        <w:rPr>
          <w:rFonts w:eastAsia="方正仿宋_GBK"/>
        </w:rPr>
      </w:pPr>
      <w:bookmarkStart w:id="76" w:name="_Toc22861"/>
      <w:bookmarkStart w:id="77" w:name="_Toc20141"/>
      <w:bookmarkStart w:id="78" w:name="_Toc440730882"/>
      <w:r>
        <w:rPr>
          <w:rFonts w:hint="eastAsia" w:eastAsia="方正仿宋_GBK"/>
        </w:rPr>
        <w:t>第一节</w:t>
      </w:r>
      <w:r>
        <w:rPr>
          <w:rFonts w:eastAsia="方正仿宋_GBK"/>
        </w:rPr>
        <w:t xml:space="preserve">  </w:t>
      </w:r>
      <w:r>
        <w:rPr>
          <w:rFonts w:hint="eastAsia" w:eastAsia="方正仿宋_GBK"/>
        </w:rPr>
        <w:t>鼓励支持引导非公有制经济发展</w:t>
      </w:r>
      <w:bookmarkEnd w:id="76"/>
      <w:bookmarkEnd w:id="77"/>
      <w:bookmarkEnd w:id="78"/>
    </w:p>
    <w:p>
      <w:pPr>
        <w:spacing w:line="580" w:lineRule="exact"/>
        <w:ind w:firstLine="632" w:firstLineChars="200"/>
        <w:rPr>
          <w:color w:val="000000"/>
          <w:shd w:val="clear" w:color="auto" w:fill="FFFFFF"/>
        </w:rPr>
      </w:pPr>
      <w:r>
        <w:rPr>
          <w:rFonts w:hint="eastAsia"/>
          <w:color w:val="000000"/>
        </w:rPr>
        <w:t>鼓励民间资本、民营企业依法进入公用事业、特许经营等更多领域。依法保护各种所有制经济产权和合法权益，保证公开公平公正参与市场竞争。完善服务企业长效机制，全面落实鼓励支持中小微企业发展的政策措施。</w:t>
      </w:r>
      <w:r>
        <w:rPr>
          <w:rFonts w:hint="eastAsia"/>
          <w:color w:val="000000"/>
          <w:shd w:val="clear" w:color="auto" w:fill="FFFFFF"/>
        </w:rPr>
        <w:t>开展降低实体经济企业成本行动，完善企业服务机制、政企沟通机制、企业权益保护和问题受理机制，减轻企业负担。拓展中小企业直接融资渠道，发展融资担保，鼓励中小企业改制上市。完善公平竞争、促进企业健康发展的政策和制度，改进市场监管方式，维护市场秩序。完善社会信用体系，建立覆盖各类市场主体的失信惩戒机制。大力实施“回归工程”，发挥民智优势，促进外出成功人士返乡创业，吸引海外留学归国人员进入信阳高科技孵化园，孵化和培育科技型中小企业。</w:t>
      </w:r>
    </w:p>
    <w:p>
      <w:pPr>
        <w:pStyle w:val="4"/>
        <w:spacing w:before="0" w:after="0" w:line="580" w:lineRule="exact"/>
        <w:jc w:val="center"/>
        <w:rPr>
          <w:rFonts w:eastAsia="方正仿宋_GBK"/>
        </w:rPr>
      </w:pPr>
      <w:bookmarkStart w:id="79" w:name="_Toc17654"/>
      <w:bookmarkStart w:id="80" w:name="_Toc6465"/>
      <w:bookmarkStart w:id="81" w:name="_Toc440730883"/>
      <w:r>
        <w:rPr>
          <w:rFonts w:hint="eastAsia" w:eastAsia="方正仿宋_GBK"/>
        </w:rPr>
        <w:t>第二节</w:t>
      </w:r>
      <w:r>
        <w:rPr>
          <w:rFonts w:eastAsia="方正仿宋_GBK"/>
        </w:rPr>
        <w:t xml:space="preserve">  </w:t>
      </w:r>
      <w:r>
        <w:rPr>
          <w:rFonts w:hint="eastAsia" w:eastAsia="方正仿宋_GBK"/>
        </w:rPr>
        <w:t>发展完善各类市场</w:t>
      </w:r>
      <w:bookmarkEnd w:id="79"/>
      <w:bookmarkEnd w:id="80"/>
      <w:bookmarkEnd w:id="81"/>
    </w:p>
    <w:p>
      <w:pPr>
        <w:spacing w:line="580" w:lineRule="exact"/>
        <w:ind w:firstLine="632" w:firstLineChars="200"/>
        <w:rPr>
          <w:color w:val="000000"/>
          <w:shd w:val="clear" w:color="auto" w:fill="FFFFFF"/>
        </w:rPr>
      </w:pPr>
      <w:r>
        <w:rPr>
          <w:rFonts w:hint="eastAsia"/>
          <w:color w:val="000000"/>
          <w:shd w:val="clear" w:color="auto" w:fill="FFFFFF"/>
        </w:rPr>
        <w:t>健全多层次资本市场体系，推动证券、保险、产权交易等市场加快发展，提升辐射力和影响力。大力推动企业通过资本市场直接融资，</w:t>
      </w:r>
      <w:r>
        <w:rPr>
          <w:rFonts w:hint="eastAsia"/>
          <w:color w:val="000000"/>
        </w:rPr>
        <w:t>积极申报资本市场后备企业库。</w:t>
      </w:r>
      <w:r>
        <w:rPr>
          <w:rFonts w:hint="eastAsia"/>
          <w:color w:val="000000"/>
          <w:shd w:val="clear" w:color="auto" w:fill="FFFFFF"/>
        </w:rPr>
        <w:t>建立城乡统一的建设用地市场，改革完善宅基地使用制度，稳妥推进农民住房财产权抵押、担保、转让。发展技术贸易市场，健全技术交易市场服务体系，建立与国际管理接轨的技术和知识产权交易服务平台，打造一批集信息发布、交易转让、知识产权服务、股权投资服务于一体的综合性技术市场。大力发展消费品市场，推动重点优势商品市场拓展综合服务功能，推进成熟商圈提档升级，培育壮大新兴商圈，发展地标性商业中心。完善生产资料批发市场综合服务功能，推动生产资料市场与产业集聚区、物流园区互动融合。强化农产品市场流通基础设施建设，拓展农产品交易和展示渠道，优化农产品零售市场布局，推动各类便民市场建设。</w:t>
      </w:r>
      <w:r>
        <w:rPr>
          <w:color w:val="000000"/>
          <w:shd w:val="clear" w:color="auto" w:fill="FFFFFF"/>
        </w:rPr>
        <w:t xml:space="preserve">                                                                                                                                                                                                                                                                          </w:t>
      </w:r>
    </w:p>
    <w:p>
      <w:pPr>
        <w:pStyle w:val="4"/>
        <w:spacing w:before="0" w:after="0" w:line="580" w:lineRule="exact"/>
        <w:jc w:val="center"/>
        <w:rPr>
          <w:rFonts w:eastAsia="方正仿宋_GBK"/>
        </w:rPr>
      </w:pPr>
      <w:bookmarkStart w:id="82" w:name="_Toc440730884"/>
      <w:bookmarkStart w:id="83" w:name="_Toc18267"/>
      <w:bookmarkStart w:id="84" w:name="_Toc16858"/>
      <w:r>
        <w:rPr>
          <w:rFonts w:hint="eastAsia" w:eastAsia="方正仿宋_GBK"/>
        </w:rPr>
        <w:t>第三节</w:t>
      </w:r>
      <w:r>
        <w:rPr>
          <w:rFonts w:eastAsia="方正仿宋_GBK"/>
        </w:rPr>
        <w:t xml:space="preserve">  </w:t>
      </w:r>
      <w:r>
        <w:rPr>
          <w:rFonts w:hint="eastAsia" w:eastAsia="方正仿宋_GBK"/>
        </w:rPr>
        <w:t>加快转变政府职能</w:t>
      </w:r>
      <w:bookmarkEnd w:id="82"/>
      <w:bookmarkEnd w:id="83"/>
      <w:bookmarkEnd w:id="84"/>
    </w:p>
    <w:p>
      <w:pPr>
        <w:spacing w:line="580" w:lineRule="exact"/>
        <w:ind w:firstLine="632" w:firstLineChars="200"/>
        <w:rPr>
          <w:color w:val="000000"/>
          <w:shd w:val="clear" w:color="auto" w:fill="FFFFFF"/>
        </w:rPr>
      </w:pPr>
      <w:r>
        <w:rPr>
          <w:rFonts w:hint="eastAsia"/>
          <w:color w:val="000000"/>
          <w:shd w:val="clear" w:color="auto" w:fill="FFFFFF"/>
        </w:rPr>
        <w:t>持续推进简政放权、放管结合、优化服务，</w:t>
      </w:r>
      <w:r>
        <w:rPr>
          <w:rFonts w:hint="eastAsia"/>
        </w:rPr>
        <w:t>深入推进依法行政，将政府工作全面纳入法治轨道。</w:t>
      </w:r>
      <w:r>
        <w:rPr>
          <w:rFonts w:hint="eastAsia"/>
          <w:color w:val="000000"/>
          <w:shd w:val="clear" w:color="auto" w:fill="FFFFFF"/>
        </w:rPr>
        <w:t>积极推行政府部门权力清单、责任清单、市场准入负面清单、涉企收费目录清单制度，建设政务服务网络平台。继续规范和减少行政审批事项，规范行政审批行为、改进行政审批流程，推广完善联审联批制度。加强对统一进驻行政服务中心服务机构进行管理。全面清理规范行政审批中介服务、垄断性中介。进一步优化政府服务，全面实行政务公开，推广电子政务和网上办事。</w:t>
      </w:r>
      <w:r>
        <w:rPr>
          <w:rFonts w:hint="eastAsia"/>
        </w:rPr>
        <w:t>深化服务型行政执法行为，落实行政执法责任制，加强执法监督，严格规范公正文明执法。</w:t>
      </w:r>
      <w:r>
        <w:rPr>
          <w:rFonts w:hint="eastAsia"/>
          <w:color w:val="000000"/>
          <w:shd w:val="clear" w:color="auto" w:fill="FFFFFF"/>
        </w:rPr>
        <w:t>加强经济运行调控，防范化解各类风险。</w:t>
      </w:r>
    </w:p>
    <w:p>
      <w:pPr>
        <w:pStyle w:val="3"/>
        <w:spacing w:before="0" w:after="0" w:line="580" w:lineRule="exact"/>
        <w:jc w:val="center"/>
        <w:rPr>
          <w:rFonts w:ascii="Times New Roman" w:hAnsi="Times New Roman" w:eastAsia="方正楷体_GBK" w:cs="Times New Roman"/>
        </w:rPr>
      </w:pPr>
      <w:bookmarkStart w:id="85" w:name="_Toc440730885"/>
      <w:bookmarkStart w:id="86" w:name="_Toc3867"/>
      <w:bookmarkStart w:id="87" w:name="_Toc17251"/>
      <w:r>
        <w:rPr>
          <w:rFonts w:hint="eastAsia" w:ascii="Times New Roman" w:hAnsi="Times New Roman" w:eastAsia="方正楷体_GBK" w:cs="Times New Roman"/>
        </w:rPr>
        <w:t>第七章</w:t>
      </w:r>
      <w:r>
        <w:rPr>
          <w:rFonts w:ascii="Times New Roman" w:hAnsi="Times New Roman" w:eastAsia="方正楷体_GBK" w:cs="Times New Roman"/>
        </w:rPr>
        <w:t xml:space="preserve">  </w:t>
      </w:r>
      <w:r>
        <w:rPr>
          <w:rFonts w:hint="eastAsia" w:ascii="Times New Roman" w:hAnsi="Times New Roman" w:eastAsia="方正楷体_GBK" w:cs="Times New Roman"/>
        </w:rPr>
        <w:t>落实全面深化改革新举措</w:t>
      </w:r>
      <w:bookmarkEnd w:id="85"/>
      <w:bookmarkEnd w:id="86"/>
      <w:bookmarkEnd w:id="87"/>
    </w:p>
    <w:p>
      <w:pPr>
        <w:spacing w:line="580" w:lineRule="exact"/>
        <w:ind w:firstLine="632" w:firstLineChars="200"/>
        <w:rPr>
          <w:color w:val="000000"/>
          <w:kern w:val="0"/>
        </w:rPr>
      </w:pPr>
      <w:r>
        <w:rPr>
          <w:rFonts w:hint="eastAsia"/>
          <w:color w:val="000000"/>
        </w:rPr>
        <w:t>深入落实重大改革事项，</w:t>
      </w:r>
      <w:r>
        <w:rPr>
          <w:rFonts w:hint="eastAsia"/>
          <w:color w:val="000000"/>
          <w:kern w:val="0"/>
        </w:rPr>
        <w:t>全面完成中央和省委部署的各项改革任务。</w:t>
      </w:r>
    </w:p>
    <w:p>
      <w:pPr>
        <w:pStyle w:val="4"/>
        <w:spacing w:before="0" w:after="0" w:line="580" w:lineRule="exact"/>
        <w:jc w:val="center"/>
        <w:rPr>
          <w:rFonts w:eastAsia="方正仿宋_GBK"/>
        </w:rPr>
      </w:pPr>
      <w:bookmarkStart w:id="88" w:name="_Toc11746"/>
      <w:bookmarkStart w:id="89" w:name="_Toc20448"/>
      <w:bookmarkStart w:id="90" w:name="_Toc440730886"/>
      <w:r>
        <w:rPr>
          <w:rFonts w:hint="eastAsia" w:eastAsia="方正仿宋_GBK"/>
        </w:rPr>
        <w:t>第一节</w:t>
      </w:r>
      <w:r>
        <w:rPr>
          <w:rFonts w:eastAsia="方正仿宋_GBK"/>
        </w:rPr>
        <w:t xml:space="preserve">  </w:t>
      </w:r>
      <w:r>
        <w:rPr>
          <w:rFonts w:hint="eastAsia" w:eastAsia="方正仿宋_GBK"/>
        </w:rPr>
        <w:t>推进全国农村改革试验区建设</w:t>
      </w:r>
      <w:bookmarkEnd w:id="88"/>
      <w:bookmarkEnd w:id="89"/>
      <w:bookmarkEnd w:id="90"/>
    </w:p>
    <w:p>
      <w:pPr>
        <w:widowControl/>
        <w:spacing w:line="580" w:lineRule="exact"/>
        <w:ind w:firstLine="632" w:firstLineChars="200"/>
      </w:pPr>
      <w:r>
        <w:rPr>
          <w:rFonts w:hint="eastAsia"/>
          <w:color w:val="000000"/>
        </w:rPr>
        <w:t>注重农村改革的系统性、整体性、协同性，加快农业发展方式转变，健全农业可持续发展和农民持续增收的体制机制，着力破除城乡二元结构的体制障碍，重点在深化集体林权制度改</w:t>
      </w:r>
      <w:r>
        <w:rPr>
          <w:rFonts w:hint="eastAsia"/>
          <w:color w:val="000000"/>
          <w:spacing w:val="-20"/>
        </w:rPr>
        <w:t>革、改</w:t>
      </w:r>
      <w:r>
        <w:rPr>
          <w:rFonts w:hint="eastAsia"/>
          <w:color w:val="000000"/>
        </w:rPr>
        <w:t>进农业补贴办</w:t>
      </w:r>
      <w:r>
        <w:rPr>
          <w:rFonts w:hint="eastAsia"/>
          <w:color w:val="000000"/>
          <w:spacing w:val="-20"/>
        </w:rPr>
        <w:t>法、涉</w:t>
      </w:r>
      <w:r>
        <w:rPr>
          <w:rFonts w:hint="eastAsia"/>
          <w:color w:val="000000"/>
        </w:rPr>
        <w:t>农建设性资金整</w:t>
      </w:r>
      <w:r>
        <w:rPr>
          <w:rFonts w:hint="eastAsia"/>
          <w:color w:val="000000"/>
          <w:spacing w:val="-20"/>
        </w:rPr>
        <w:t>合、精</w:t>
      </w:r>
      <w:r>
        <w:rPr>
          <w:rFonts w:hint="eastAsia"/>
          <w:color w:val="000000"/>
        </w:rPr>
        <w:t>准扶贫开发综合改革四个方面积极探</w:t>
      </w:r>
      <w:r>
        <w:rPr>
          <w:rFonts w:hint="eastAsia"/>
          <w:color w:val="000000"/>
          <w:spacing w:val="-20"/>
        </w:rPr>
        <w:t>索，为</w:t>
      </w:r>
      <w:r>
        <w:rPr>
          <w:rFonts w:hint="eastAsia"/>
          <w:color w:val="000000"/>
        </w:rPr>
        <w:t>全国农村改革积累经验。</w:t>
      </w:r>
    </w:p>
    <w:tbl>
      <w:tblPr>
        <w:tblStyle w:val="7"/>
        <w:tblW w:w="82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8292"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eastAsia="方正小标宋_GBK"/>
                <w:sz w:val="24"/>
                <w:szCs w:val="24"/>
              </w:rPr>
            </w:pPr>
            <w:r>
              <w:rPr>
                <w:rFonts w:hint="eastAsia" w:eastAsia="方正小标宋_GBK"/>
                <w:sz w:val="28"/>
                <w:szCs w:val="24"/>
              </w:rPr>
              <w:t>专栏</w:t>
            </w:r>
            <w:r>
              <w:rPr>
                <w:rFonts w:eastAsia="方正小标宋_GBK"/>
                <w:sz w:val="28"/>
                <w:szCs w:val="24"/>
              </w:rPr>
              <w:t>17</w:t>
            </w:r>
            <w:r>
              <w:rPr>
                <w:rFonts w:hint="eastAsia" w:eastAsia="方正小标宋_GBK"/>
                <w:sz w:val="28"/>
                <w:szCs w:val="24"/>
              </w:rPr>
              <w:t>：农村改革试验任务</w:t>
            </w:r>
            <w:r>
              <w:rPr>
                <w:rFonts w:eastAsia="方正小标宋_GBK"/>
                <w:sz w:val="28"/>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jc w:val="center"/>
        </w:trPr>
        <w:tc>
          <w:tcPr>
            <w:tcW w:w="8292" w:type="dxa"/>
            <w:tcBorders>
              <w:top w:val="single" w:color="000000" w:sz="4" w:space="0"/>
              <w:left w:val="single" w:color="000000" w:sz="4" w:space="0"/>
              <w:bottom w:val="single" w:color="000000" w:sz="4" w:space="0"/>
              <w:right w:val="single" w:color="000000" w:sz="4" w:space="0"/>
            </w:tcBorders>
            <w:vAlign w:val="top"/>
          </w:tcPr>
          <w:p>
            <w:pPr>
              <w:spacing w:line="400" w:lineRule="exact"/>
              <w:ind w:firstLine="474" w:firstLineChars="200"/>
              <w:rPr>
                <w:sz w:val="24"/>
                <w:szCs w:val="24"/>
              </w:rPr>
            </w:pPr>
            <w:r>
              <w:rPr>
                <w:rFonts w:hint="eastAsia"/>
                <w:b/>
                <w:bCs/>
                <w:sz w:val="24"/>
                <w:szCs w:val="24"/>
              </w:rPr>
              <w:t>深化集体林权制度改革。</w:t>
            </w:r>
            <w:r>
              <w:rPr>
                <w:rFonts w:hint="eastAsia"/>
                <w:sz w:val="24"/>
                <w:szCs w:val="24"/>
              </w:rPr>
              <w:t>在坚持家庭承包经营长久不变的基础上，探索开展集体林地所有权、承包权、经营权“三权分离”林权管理新模式；探索林业要素市场服务新规范；探索公益林管理经营新机制；探索建立规范林权流转新制度。</w:t>
            </w:r>
          </w:p>
          <w:p>
            <w:pPr>
              <w:spacing w:line="400" w:lineRule="exact"/>
              <w:ind w:firstLine="474" w:firstLineChars="200"/>
              <w:rPr>
                <w:sz w:val="24"/>
                <w:szCs w:val="24"/>
              </w:rPr>
            </w:pPr>
            <w:r>
              <w:rPr>
                <w:rFonts w:hint="eastAsia"/>
                <w:b/>
                <w:bCs/>
                <w:sz w:val="24"/>
                <w:szCs w:val="24"/>
              </w:rPr>
              <w:t>改进农业补贴办法。</w:t>
            </w:r>
            <w:r>
              <w:rPr>
                <w:rFonts w:hint="eastAsia"/>
                <w:sz w:val="24"/>
                <w:szCs w:val="24"/>
              </w:rPr>
              <w:t>将种粮农民直接补贴、良种补贴、农资综合补贴合并为农业支持保护补贴，新增补贴向粮食等重要农产品、新型农业经营主体、主产区倾斜。开展按实际粮食播种面积或产量对生产者补贴，提高补贴的精准性、指向性。对流转土地</w:t>
            </w:r>
            <w:r>
              <w:rPr>
                <w:sz w:val="24"/>
                <w:szCs w:val="24"/>
              </w:rPr>
              <w:t>50</w:t>
            </w:r>
            <w:r>
              <w:rPr>
                <w:rFonts w:hint="eastAsia"/>
                <w:sz w:val="24"/>
                <w:szCs w:val="24"/>
              </w:rPr>
              <w:t>亩以上从事粮食生产的新型农业经营主体，按实际流转面积给予适当奖补。加大农机购置补贴力度，完善补贴办法，推进农机报废更新补贴。强化农业防灾减灾稳产增产关键技术补助。实施畜牧良种补贴政策。</w:t>
            </w:r>
          </w:p>
          <w:p>
            <w:pPr>
              <w:spacing w:line="400" w:lineRule="exact"/>
              <w:ind w:firstLine="474" w:firstLineChars="200"/>
              <w:rPr>
                <w:sz w:val="24"/>
                <w:szCs w:val="24"/>
              </w:rPr>
            </w:pPr>
            <w:r>
              <w:rPr>
                <w:rFonts w:hint="eastAsia"/>
                <w:b/>
                <w:bCs/>
                <w:sz w:val="24"/>
                <w:szCs w:val="24"/>
              </w:rPr>
              <w:t>涉农建设性资金整合。</w:t>
            </w:r>
            <w:r>
              <w:rPr>
                <w:rFonts w:hint="eastAsia"/>
                <w:sz w:val="24"/>
                <w:szCs w:val="24"/>
              </w:rPr>
              <w:t>建立县级层面涉农建设性资金整合协调机制；明确涉农资金整合的重点，主要整合不同渠道下达但建设内容相近、用途相同、明显交叉重复的涉农资金；注重发挥规划的引领作用；探索完善涉农资金信息公开和监管制度；创新农村小型基础设施建设机制。</w:t>
            </w:r>
          </w:p>
          <w:p>
            <w:pPr>
              <w:spacing w:line="400" w:lineRule="exact"/>
              <w:ind w:firstLine="474" w:firstLineChars="200"/>
              <w:rPr>
                <w:sz w:val="24"/>
                <w:szCs w:val="24"/>
              </w:rPr>
            </w:pPr>
            <w:r>
              <w:rPr>
                <w:rFonts w:hint="eastAsia"/>
                <w:b/>
                <w:bCs/>
                <w:sz w:val="24"/>
                <w:szCs w:val="24"/>
              </w:rPr>
              <w:t>精准扶贫开发综合改革。</w:t>
            </w:r>
            <w:r>
              <w:rPr>
                <w:rFonts w:hint="eastAsia"/>
                <w:sz w:val="24"/>
                <w:szCs w:val="24"/>
              </w:rPr>
              <w:t>创新精准扶贫工作机制、扶贫资金管理和监督机制、金融服务机制、定点帮扶机制、贫困县考核机制、县级党委政府主体责任机制，构建扶贫投入模式、技能培训模式、搬迁扶贫模式、高效农田模式、产业发展模式、连片开发模式，力争在</w:t>
            </w:r>
            <w:r>
              <w:rPr>
                <w:sz w:val="24"/>
                <w:szCs w:val="24"/>
              </w:rPr>
              <w:t>3-5</w:t>
            </w:r>
            <w:r>
              <w:rPr>
                <w:rFonts w:hint="eastAsia"/>
                <w:sz w:val="24"/>
                <w:szCs w:val="24"/>
              </w:rPr>
              <w:t>年时间内取得突破，建立形成一套规范化制度和有效的工作机制。</w:t>
            </w:r>
          </w:p>
        </w:tc>
      </w:tr>
    </w:tbl>
    <w:p>
      <w:pPr>
        <w:pStyle w:val="4"/>
        <w:spacing w:before="0" w:after="0" w:line="580" w:lineRule="exact"/>
        <w:jc w:val="center"/>
        <w:rPr>
          <w:rFonts w:eastAsia="方正仿宋_GBK"/>
        </w:rPr>
      </w:pPr>
      <w:bookmarkStart w:id="91" w:name="_Toc27364"/>
      <w:bookmarkStart w:id="92" w:name="_Toc18961"/>
      <w:bookmarkStart w:id="93" w:name="_Toc440730887"/>
      <w:r>
        <w:rPr>
          <w:rFonts w:hint="eastAsia" w:eastAsia="方正仿宋_GBK"/>
        </w:rPr>
        <w:t>第二节</w:t>
      </w:r>
      <w:r>
        <w:rPr>
          <w:rFonts w:eastAsia="方正仿宋_GBK"/>
        </w:rPr>
        <w:t xml:space="preserve">  </w:t>
      </w:r>
      <w:r>
        <w:rPr>
          <w:rFonts w:hint="eastAsia" w:eastAsia="方正仿宋_GBK"/>
        </w:rPr>
        <w:t>深化国有企业改革</w:t>
      </w:r>
      <w:bookmarkEnd w:id="91"/>
      <w:bookmarkEnd w:id="92"/>
      <w:bookmarkEnd w:id="93"/>
    </w:p>
    <w:p>
      <w:pPr>
        <w:spacing w:line="580" w:lineRule="exact"/>
        <w:ind w:firstLine="632" w:firstLineChars="200"/>
        <w:rPr>
          <w:color w:val="000000"/>
        </w:rPr>
      </w:pPr>
      <w:r>
        <w:rPr>
          <w:rFonts w:hint="eastAsia"/>
          <w:color w:val="000000"/>
        </w:rPr>
        <w:t>分类推进国有企业改革，发展混合所有制经济，推进经营性国有资产集中统一监管。完善现代企业制度，加强和改进党对国有企业的领导，构建以董事会为核心的法人治理结构，实现国有企业领导人员任期制、契约化管理全覆盖。以管资本为主加强国有资本监管，加强国有企业董事会建设，健全国有企业外派监事会制度，防止国有资产流失。全面推进国有企业负责人薪酬制度改革，积极推进市场化选聘职业经理人。改组组建国有资本投资公司和运营公司，基本形成新的国有资本授权经营体制。</w:t>
      </w:r>
      <w:r>
        <w:rPr>
          <w:color w:val="000000"/>
        </w:rPr>
        <w:t xml:space="preserve">                                                                                                                                                                                                                                                                                                                                                                                                                                                                                                                                                                                                            </w:t>
      </w:r>
    </w:p>
    <w:p>
      <w:pPr>
        <w:pStyle w:val="4"/>
        <w:spacing w:before="0" w:after="0" w:line="580" w:lineRule="exact"/>
        <w:jc w:val="center"/>
        <w:rPr>
          <w:rFonts w:eastAsia="方正仿宋_GBK"/>
        </w:rPr>
      </w:pPr>
      <w:bookmarkStart w:id="94" w:name="_Toc13703"/>
      <w:r>
        <w:rPr>
          <w:rFonts w:hint="eastAsia" w:eastAsia="方正仿宋_GBK"/>
        </w:rPr>
        <w:t>第三节</w:t>
      </w:r>
      <w:r>
        <w:rPr>
          <w:rFonts w:eastAsia="方正仿宋_GBK"/>
        </w:rPr>
        <w:t xml:space="preserve">  </w:t>
      </w:r>
      <w:r>
        <w:rPr>
          <w:rFonts w:hint="eastAsia" w:eastAsia="方正仿宋_GBK"/>
        </w:rPr>
        <w:t>深化财税金融改革</w:t>
      </w:r>
      <w:bookmarkEnd w:id="94"/>
    </w:p>
    <w:p>
      <w:pPr>
        <w:spacing w:line="580" w:lineRule="exact"/>
        <w:ind w:firstLine="632" w:firstLineChars="200"/>
        <w:rPr>
          <w:color w:val="000000"/>
        </w:rPr>
      </w:pPr>
      <w:r>
        <w:rPr>
          <w:rFonts w:hint="eastAsia"/>
        </w:rPr>
        <w:t>完善预算编制、执行、绩效和监督管理制度，改进年度预算控制方式，建立跨年度预算平衡机制和中期财政规划管理，加强公共预算、政府性基金预算、国有资本经营预算和社会保险基金预算的衔接。健全透明预算制度。加强预算执行管理，硬化预算约束。规范政府债务管理，建立健全政府举债融资机制，对政府债务实行限额控制。健全优先使用创新产品、绿色产品的政府采购政策。调整和优化财政支出结构，健全财政转移支付同农业转移人口市民化挂钩机制，增强基层政府提供基本公共服务的财力保障。在国家赋予的税政管理权限内健全完善地方税体系，完善税收征管制度。</w:t>
      </w:r>
      <w:r>
        <w:rPr>
          <w:rFonts w:hint="eastAsia"/>
          <w:color w:val="000000"/>
        </w:rPr>
        <w:t>推广政府与社会资本合作模式，完善中小企业融资机制、农业特别是特色产业融资机制、科技创新融资机制、城市基础设施融资机制。加快金融改革步伐，全面完成农信社改制组建农商行。</w:t>
      </w:r>
    </w:p>
    <w:p>
      <w:pPr>
        <w:pStyle w:val="4"/>
        <w:spacing w:before="0" w:after="0" w:line="580" w:lineRule="exact"/>
        <w:jc w:val="center"/>
        <w:rPr>
          <w:rFonts w:eastAsia="方正仿宋_GBK"/>
        </w:rPr>
      </w:pPr>
      <w:bookmarkStart w:id="95" w:name="_Toc17332"/>
      <w:bookmarkStart w:id="96" w:name="_Toc10131"/>
      <w:bookmarkStart w:id="97" w:name="_Toc440730888"/>
      <w:r>
        <w:rPr>
          <w:rFonts w:hint="eastAsia" w:eastAsia="方正仿宋_GBK"/>
        </w:rPr>
        <w:t>第四节</w:t>
      </w:r>
      <w:r>
        <w:rPr>
          <w:rFonts w:eastAsia="方正仿宋_GBK"/>
        </w:rPr>
        <w:t xml:space="preserve">  </w:t>
      </w:r>
      <w:r>
        <w:rPr>
          <w:rFonts w:hint="eastAsia" w:eastAsia="方正仿宋_GBK"/>
        </w:rPr>
        <w:t>积极推动供给侧结构性改革</w:t>
      </w:r>
      <w:bookmarkEnd w:id="95"/>
      <w:bookmarkEnd w:id="96"/>
      <w:bookmarkEnd w:id="97"/>
    </w:p>
    <w:bookmarkEnd w:id="67"/>
    <w:p>
      <w:pPr>
        <w:spacing w:line="580" w:lineRule="exact"/>
        <w:ind w:firstLine="632" w:firstLineChars="200"/>
      </w:pPr>
      <w:bookmarkStart w:id="98" w:name="_Toc440292089"/>
      <w:bookmarkStart w:id="99" w:name="_Toc440730889"/>
      <w:r>
        <w:rPr>
          <w:rFonts w:hint="eastAsia"/>
        </w:rPr>
        <w:t>在适度扩大总需求和调整需求结构的同时，着力加强供给侧结构性改革，实现由低水平供需平衡向高水平供需平衡的跃升。大力推进供给创新，调整产业产品结构，提升消费品质量，支持企业技术改造和设备更新，大力推动新技术、新模式、新产业、新业态发展；加快城乡结构调整，统筹城乡发展，扩大基础设施、公共服务、人力资本、优质生态产品供给，创新投入机制，补齐基础设施短板；优化劳动力、资本、土地、技术、管理等配置，提高供给体系质量和效率。坚持激活消费、优化投资、扩大出口，发挥消费对增长的基础作用，落实和创新鼓励消费的政策，引导消费朝着智能、绿色、健康、安全方向转变，在消费升级中释放需求潜力；发挥有效投资对增长的关键作用，优化投资结构，提高政府投资效益，引导社会资本重点投向新消费供给、新型城镇化、创新驱动、产业升级、基础设施、绿色低碳发展等领域</w:t>
      </w:r>
      <w:r>
        <w:t>;</w:t>
      </w:r>
      <w:r>
        <w:rPr>
          <w:rFonts w:hint="eastAsia"/>
        </w:rPr>
        <w:t>发挥出口对经济增长的促进作用，发展壮大一般贸易，着力提升加工贸易，积极发展服务贸易，培育新的增长点，促进规模扩大、结构优化。</w:t>
      </w:r>
    </w:p>
    <w:p>
      <w:pPr>
        <w:pStyle w:val="3"/>
        <w:spacing w:before="0" w:after="0" w:line="580" w:lineRule="exact"/>
        <w:jc w:val="center"/>
        <w:rPr>
          <w:rFonts w:ascii="Times New Roman" w:hAnsi="Times New Roman" w:eastAsia="方正楷体_GBK" w:cs="Times New Roman"/>
        </w:rPr>
      </w:pPr>
      <w:bookmarkStart w:id="100" w:name="_Toc5824"/>
      <w:bookmarkStart w:id="101" w:name="_Toc2195"/>
      <w:r>
        <w:rPr>
          <w:rFonts w:hint="eastAsia" w:ascii="Times New Roman" w:hAnsi="Times New Roman" w:eastAsia="方正楷体_GBK" w:cs="Times New Roman"/>
        </w:rPr>
        <w:t>第八章</w:t>
      </w:r>
      <w:r>
        <w:rPr>
          <w:rFonts w:ascii="Times New Roman" w:hAnsi="Times New Roman" w:eastAsia="方正楷体_GBK" w:cs="Times New Roman"/>
        </w:rPr>
        <w:t xml:space="preserve">  </w:t>
      </w:r>
      <w:r>
        <w:rPr>
          <w:rFonts w:hint="eastAsia" w:ascii="Times New Roman" w:hAnsi="Times New Roman" w:eastAsia="方正楷体_GBK" w:cs="Times New Roman"/>
        </w:rPr>
        <w:t>建设人力资源强市</w:t>
      </w:r>
      <w:bookmarkEnd w:id="98"/>
      <w:bookmarkEnd w:id="99"/>
      <w:bookmarkEnd w:id="100"/>
      <w:bookmarkEnd w:id="101"/>
    </w:p>
    <w:p>
      <w:pPr>
        <w:spacing w:line="580" w:lineRule="exact"/>
        <w:ind w:firstLine="632" w:firstLineChars="200"/>
        <w:rPr>
          <w:color w:val="000000"/>
        </w:rPr>
      </w:pPr>
      <w:r>
        <w:rPr>
          <w:rFonts w:hint="eastAsia"/>
          <w:color w:val="000000"/>
        </w:rPr>
        <w:t>把人才作为支撑发展的第一资源，统筹人才队伍建设，释放人力资本红利，突出发挥民智优势，增强经济增长内生动力。</w:t>
      </w:r>
    </w:p>
    <w:p>
      <w:pPr>
        <w:pStyle w:val="4"/>
        <w:spacing w:before="0" w:after="0" w:line="580" w:lineRule="exact"/>
        <w:jc w:val="center"/>
        <w:rPr>
          <w:rFonts w:eastAsia="方正仿宋_GBK"/>
        </w:rPr>
      </w:pPr>
      <w:bookmarkStart w:id="102" w:name="_Toc9549"/>
      <w:bookmarkStart w:id="103" w:name="_Toc440730890"/>
      <w:bookmarkStart w:id="104" w:name="_Toc1975"/>
      <w:r>
        <w:rPr>
          <w:rFonts w:hint="eastAsia" w:eastAsia="方正仿宋_GBK"/>
        </w:rPr>
        <w:t>第一节</w:t>
      </w:r>
      <w:r>
        <w:rPr>
          <w:rFonts w:eastAsia="方正仿宋_GBK"/>
        </w:rPr>
        <w:t xml:space="preserve">  </w:t>
      </w:r>
      <w:r>
        <w:rPr>
          <w:rFonts w:hint="eastAsia" w:eastAsia="方正仿宋_GBK"/>
        </w:rPr>
        <w:t>全面提高劳动者技能素质</w:t>
      </w:r>
      <w:bookmarkEnd w:id="102"/>
      <w:bookmarkEnd w:id="103"/>
      <w:bookmarkEnd w:id="104"/>
    </w:p>
    <w:p>
      <w:pPr>
        <w:spacing w:line="580" w:lineRule="exact"/>
        <w:ind w:firstLine="632" w:firstLineChars="200"/>
        <w:rPr>
          <w:color w:val="000000"/>
        </w:rPr>
      </w:pPr>
      <w:r>
        <w:rPr>
          <w:rFonts w:hint="eastAsia"/>
          <w:color w:val="000000"/>
        </w:rPr>
        <w:t>深入推进全民技能振兴工程和职教攻坚工程，建立健全技能培训与产业发展对接机制，鼓励企业、院校和各类培训机构提供有针对性的技能培训项目。支持信阳农林学院、信阳高级技工学校等申报建设国家级高技能人才培训基地，信阳职业技术学院、平桥公共实训基地等申报建设省级高级技能人才培养示范基地。推进产教融合、校企合作的技术工人培养模式。健全面向全体劳动者的终身技能培训制度。加强对在外创业人员和涉外务工人员的培训，实施新生代农民工职业技能提升计划，强化实用性、技能型人才开发，推进普工向技工转型。加强技师、高级技师培养，培养一批掌握先进技能的技术人才。提升农村实用人才致富创业能力。</w:t>
      </w:r>
    </w:p>
    <w:p>
      <w:pPr>
        <w:pStyle w:val="4"/>
        <w:spacing w:before="0" w:after="0" w:line="580" w:lineRule="exact"/>
        <w:jc w:val="center"/>
        <w:rPr>
          <w:rFonts w:eastAsia="方正仿宋_GBK"/>
        </w:rPr>
      </w:pPr>
      <w:bookmarkStart w:id="105" w:name="_Toc3594"/>
      <w:bookmarkStart w:id="106" w:name="_Toc440730891"/>
      <w:bookmarkStart w:id="107" w:name="_Toc19212"/>
      <w:r>
        <w:rPr>
          <w:rFonts w:hint="eastAsia" w:eastAsia="方正仿宋_GBK"/>
        </w:rPr>
        <w:t>第二节</w:t>
      </w:r>
      <w:r>
        <w:rPr>
          <w:rFonts w:eastAsia="方正仿宋_GBK"/>
        </w:rPr>
        <w:t xml:space="preserve">  </w:t>
      </w:r>
      <w:r>
        <w:rPr>
          <w:rFonts w:hint="eastAsia" w:eastAsia="方正仿宋_GBK"/>
        </w:rPr>
        <w:t>大力培养集聚高层次人才</w:t>
      </w:r>
      <w:bookmarkEnd w:id="105"/>
      <w:bookmarkEnd w:id="106"/>
      <w:bookmarkEnd w:id="107"/>
    </w:p>
    <w:p>
      <w:pPr>
        <w:spacing w:line="580" w:lineRule="exact"/>
        <w:ind w:firstLine="632" w:firstLineChars="200"/>
        <w:rPr>
          <w:color w:val="000000"/>
        </w:rPr>
      </w:pPr>
      <w:r>
        <w:rPr>
          <w:rFonts w:hint="eastAsia"/>
          <w:color w:val="000000"/>
        </w:rPr>
        <w:t>围绕重点产业和重点领域，突出“高精尖缺”导向，深入实施高层次人才培育工程，造就一大批科技领军人才、高水平创新创业人才、优秀企业家和职业经理人。实施更加开放的人才引进政策，搭建工作平台，吸引集聚国内外高层次人才。加强院士工作站、博士后科研工作站和智库建设。善于发现、重点支持、放手使用青年优秀人才。加强领军人才、核心技术研发人才培养和创新团队建设，形成科研人才和科研辅助人才衔接有序、梯次配备、结构合理的人才格局。</w:t>
      </w:r>
    </w:p>
    <w:p>
      <w:pPr>
        <w:pStyle w:val="4"/>
        <w:spacing w:before="0" w:after="0" w:line="580" w:lineRule="exact"/>
        <w:jc w:val="center"/>
        <w:rPr>
          <w:rFonts w:eastAsia="方正仿宋_GBK"/>
        </w:rPr>
      </w:pPr>
      <w:bookmarkStart w:id="108" w:name="_Toc29019"/>
      <w:bookmarkStart w:id="109" w:name="_Toc440730892"/>
      <w:bookmarkStart w:id="110" w:name="_Toc27707"/>
      <w:r>
        <w:rPr>
          <w:rFonts w:hint="eastAsia" w:eastAsia="方正仿宋_GBK"/>
        </w:rPr>
        <w:t>第三节</w:t>
      </w:r>
      <w:r>
        <w:rPr>
          <w:rFonts w:eastAsia="方正仿宋_GBK"/>
        </w:rPr>
        <w:t xml:space="preserve">  </w:t>
      </w:r>
      <w:r>
        <w:rPr>
          <w:rFonts w:hint="eastAsia" w:eastAsia="方正仿宋_GBK"/>
        </w:rPr>
        <w:t>营造良好的人才发展环境</w:t>
      </w:r>
      <w:bookmarkEnd w:id="108"/>
      <w:bookmarkEnd w:id="109"/>
      <w:bookmarkEnd w:id="110"/>
    </w:p>
    <w:p>
      <w:pPr>
        <w:spacing w:line="580" w:lineRule="exact"/>
        <w:ind w:firstLine="632" w:firstLineChars="200"/>
      </w:pPr>
      <w:r>
        <w:rPr>
          <w:rFonts w:hint="eastAsia"/>
          <w:color w:val="000000"/>
        </w:rPr>
        <w:t>深化干部人事制度改革，建立集聚人才体制机制。建立多元化人才投入体系，鼓励企业、高校参与人力资源开发和人才引进。营造有利于人人皆可成才和青年人才脱颖而出的社会环境。清除人才流动障碍，发挥市场在人才资源配置中的决定性作用，提高横向和纵向流动性，促进人才在不同性质单位和不同地域间自由流动。健全人才培养开发、评价发现、选拔任用机制，形成以创新能力、工作业绩为主要标准的人才评价导向。加快建设人力资源市场信息系统和公共服务网络平台，建立高质量就业创业服务机制。壮大企业家队伍，激发企业家精神，发挥企业家才能，依法保护企业家财产权和创新收益。</w:t>
      </w:r>
      <w:bookmarkStart w:id="111" w:name="_Toc32472"/>
      <w:bookmarkStart w:id="112" w:name="_Toc286394119"/>
      <w:bookmarkStart w:id="113" w:name="_Toc22519"/>
    </w:p>
    <w:p>
      <w:pPr>
        <w:pStyle w:val="2"/>
        <w:spacing w:before="0" w:after="0" w:line="580" w:lineRule="exact"/>
        <w:jc w:val="center"/>
      </w:pPr>
      <w:r>
        <w:rPr>
          <w:rFonts w:eastAsia="方正仿宋_GBK"/>
        </w:rPr>
        <w:br w:type="page"/>
      </w:r>
      <w:bookmarkStart w:id="114" w:name="_Toc7869"/>
      <w:r>
        <w:rPr>
          <w:rFonts w:hint="eastAsia"/>
        </w:rPr>
        <w:t>第三篇</w:t>
      </w:r>
      <w:r>
        <w:t xml:space="preserve">  </w:t>
      </w:r>
      <w:r>
        <w:rPr>
          <w:rFonts w:hint="eastAsia"/>
        </w:rPr>
        <w:t>全面促进协调发展</w:t>
      </w:r>
      <w:bookmarkEnd w:id="111"/>
      <w:bookmarkEnd w:id="114"/>
    </w:p>
    <w:p>
      <w:pPr>
        <w:widowControl/>
        <w:spacing w:line="580" w:lineRule="exact"/>
        <w:ind w:firstLine="632" w:firstLineChars="200"/>
      </w:pPr>
      <w:r>
        <w:rPr>
          <w:rFonts w:hint="eastAsia"/>
        </w:rPr>
        <w:t>坚持区域协同、城乡一体、物质文明和精神文明并重，更加注重均衡发展，提升发展势能，增强发展协调性。</w:t>
      </w:r>
    </w:p>
    <w:p>
      <w:pPr>
        <w:pStyle w:val="3"/>
        <w:spacing w:before="0" w:after="0" w:line="580" w:lineRule="exact"/>
        <w:jc w:val="center"/>
        <w:rPr>
          <w:rFonts w:ascii="Times New Roman" w:hAnsi="Times New Roman" w:eastAsia="方正楷体_GBK" w:cs="Times New Roman"/>
        </w:rPr>
      </w:pPr>
      <w:bookmarkStart w:id="115" w:name="_Toc8711"/>
      <w:bookmarkStart w:id="116" w:name="_Toc7220"/>
      <w:r>
        <w:rPr>
          <w:rFonts w:hint="eastAsia" w:ascii="Times New Roman" w:hAnsi="Times New Roman" w:eastAsia="方正楷体_GBK" w:cs="Times New Roman"/>
        </w:rPr>
        <w:t>第九章</w:t>
      </w:r>
      <w:r>
        <w:rPr>
          <w:rFonts w:ascii="Times New Roman" w:hAnsi="Times New Roman" w:eastAsia="方正楷体_GBK" w:cs="Times New Roman"/>
        </w:rPr>
        <w:t xml:space="preserve">  </w:t>
      </w:r>
      <w:r>
        <w:rPr>
          <w:rFonts w:hint="eastAsia" w:ascii="Times New Roman" w:hAnsi="Times New Roman" w:eastAsia="方正楷体_GBK" w:cs="Times New Roman"/>
        </w:rPr>
        <w:t>打造区域性中心城市</w:t>
      </w:r>
      <w:bookmarkEnd w:id="115"/>
      <w:bookmarkEnd w:id="116"/>
    </w:p>
    <w:p>
      <w:pPr>
        <w:spacing w:line="580" w:lineRule="exact"/>
        <w:ind w:firstLine="632" w:firstLineChars="200"/>
        <w:rPr>
          <w:b/>
          <w:bCs/>
        </w:rPr>
      </w:pPr>
      <w:r>
        <w:rPr>
          <w:rFonts w:hint="eastAsia"/>
        </w:rPr>
        <w:t>充分发挥前沿、生态、民智优势，持续增强城市综合服务功能，不断提高辐射带动周边地区能力，打造区域性中心城市。</w:t>
      </w:r>
    </w:p>
    <w:p>
      <w:pPr>
        <w:spacing w:line="580" w:lineRule="exact"/>
        <w:ind w:firstLine="634" w:firstLineChars="200"/>
      </w:pPr>
      <w:r>
        <w:rPr>
          <w:rFonts w:hint="eastAsia"/>
          <w:b/>
          <w:bCs/>
        </w:rPr>
        <w:t>深度融入中原城市群一体化发展。</w:t>
      </w:r>
      <w:r>
        <w:rPr>
          <w:rFonts w:hint="eastAsia"/>
        </w:rPr>
        <w:t>充分发挥我市联南贯北、承东启西的前沿优势和桥头堡作用，积极承接发达国家及我国东南沿海地区产业转移及西部资源输出，有效对接中原城市群一体化发展规划，将信阳建设成为中原城市群与长江中游城市群南北呼应、共同支撑新时期促进中部崛起战略的关键节点，成为我省经济发展的重要增长极。</w:t>
      </w:r>
    </w:p>
    <w:p>
      <w:pPr>
        <w:spacing w:line="580" w:lineRule="exact"/>
        <w:ind w:firstLine="634" w:firstLineChars="200"/>
      </w:pPr>
      <w:r>
        <w:rPr>
          <w:rFonts w:hint="eastAsia"/>
          <w:b/>
          <w:bCs/>
        </w:rPr>
        <w:t>积极融入大别山区域协调发展。</w:t>
      </w:r>
      <w:r>
        <w:rPr>
          <w:rFonts w:hint="eastAsia"/>
        </w:rPr>
        <w:t>深入实施《大别山革命老区振兴发展规划》，编制完成配套实施方案，积极争取省财政设立大别山振兴区域发展基金。加强与驻马店、六安、黄冈、随州等市的区域协作，发挥商城县等东部县联系皖江经济带的桥头堡作用，着力打通省际交通通道，整合区域资源，推进交通一体、产业链接、服务共享、生态共建，实现互补发展、错位发展、共赢发展，将信阳打造成为鄂豫皖交界地区中心城市。</w:t>
      </w:r>
    </w:p>
    <w:p>
      <w:pPr>
        <w:spacing w:line="580" w:lineRule="exact"/>
        <w:ind w:firstLine="634" w:firstLineChars="200"/>
      </w:pPr>
      <w:r>
        <w:rPr>
          <w:rFonts w:hint="eastAsia"/>
          <w:b/>
          <w:bCs/>
        </w:rPr>
        <w:t>加快推动淮河流域协调发展。</w:t>
      </w:r>
      <w:r>
        <w:rPr>
          <w:rFonts w:hint="eastAsia"/>
        </w:rPr>
        <w:t>加快以淮河干流为主线的整个淮河流域互联互通，统筹淮河上、中、下游防洪、灌溉与航运，促进豫、皖、苏三省沿淮区域协调发展。积极推动淮河流域综合治理与振兴发展，打造绿色发展的淮河生态经济带，争取上升为国家规划。依托淮河大堤，堤上建设快速公路，堤岸建设防护林，将淮河大堤建成集防汛、观光于一体的生态廊道；以打造新的出海黄金水道和陆路交通为纽带，规划建设沿淮航运、公路、铁路等重大工程项目，恢复天然物流系统，促进淮河流域上中下游生产要素合理配置和集聚，加快沿岸经济一体化发展。</w:t>
      </w:r>
    </w:p>
    <w:p>
      <w:pPr>
        <w:pStyle w:val="3"/>
        <w:spacing w:before="0" w:after="0" w:line="580" w:lineRule="exact"/>
        <w:jc w:val="center"/>
        <w:rPr>
          <w:rFonts w:ascii="Times New Roman" w:hAnsi="Times New Roman" w:eastAsia="方正楷体_GBK" w:cs="Times New Roman"/>
        </w:rPr>
      </w:pPr>
      <w:bookmarkStart w:id="117" w:name="_Toc23930"/>
      <w:bookmarkStart w:id="118" w:name="_Toc396"/>
      <w:r>
        <w:rPr>
          <w:rFonts w:hint="eastAsia" w:ascii="Times New Roman" w:hAnsi="Times New Roman" w:eastAsia="方正楷体_GBK" w:cs="Times New Roman"/>
        </w:rPr>
        <w:t>第十章</w:t>
      </w:r>
      <w:r>
        <w:rPr>
          <w:rFonts w:ascii="Times New Roman" w:hAnsi="Times New Roman" w:eastAsia="方正楷体_GBK" w:cs="Times New Roman"/>
        </w:rPr>
        <w:t xml:space="preserve">  </w:t>
      </w:r>
      <w:r>
        <w:rPr>
          <w:rFonts w:hint="eastAsia" w:ascii="Times New Roman" w:hAnsi="Times New Roman" w:eastAsia="方正楷体_GBK" w:cs="Times New Roman"/>
        </w:rPr>
        <w:t>推动城乡协调发展</w:t>
      </w:r>
      <w:bookmarkEnd w:id="117"/>
      <w:bookmarkEnd w:id="118"/>
    </w:p>
    <w:p>
      <w:pPr>
        <w:spacing w:line="580" w:lineRule="exact"/>
        <w:ind w:firstLine="632" w:firstLineChars="200"/>
      </w:pPr>
      <w:r>
        <w:rPr>
          <w:rFonts w:hint="eastAsia"/>
        </w:rPr>
        <w:t>着力构建新型城镇体系，不断提高城市综合承载能力。坚持“一基本两牵动三保障”，完善城镇发展的各项体制机制，促进产业集聚、人口集中、土地集约，科学推进新型城镇化，加快城乡一体化发展。</w:t>
      </w:r>
    </w:p>
    <w:p>
      <w:pPr>
        <w:pStyle w:val="4"/>
        <w:spacing w:before="0" w:after="0" w:line="580" w:lineRule="exact"/>
        <w:jc w:val="center"/>
        <w:rPr>
          <w:rFonts w:eastAsia="方正仿宋_GBK"/>
        </w:rPr>
      </w:pPr>
      <w:bookmarkStart w:id="119" w:name="_Toc17094"/>
      <w:bookmarkStart w:id="120" w:name="_Toc17348"/>
      <w:r>
        <w:rPr>
          <w:rFonts w:hint="eastAsia" w:eastAsia="方正仿宋_GBK"/>
        </w:rPr>
        <w:t>第一节</w:t>
      </w:r>
      <w:r>
        <w:rPr>
          <w:rFonts w:eastAsia="方正仿宋_GBK"/>
        </w:rPr>
        <w:t xml:space="preserve">  </w:t>
      </w:r>
      <w:bookmarkEnd w:id="119"/>
      <w:r>
        <w:rPr>
          <w:rFonts w:hint="eastAsia" w:eastAsia="方正仿宋_GBK"/>
        </w:rPr>
        <w:t>构建城乡发展新格局</w:t>
      </w:r>
      <w:bookmarkEnd w:id="120"/>
    </w:p>
    <w:p>
      <w:pPr>
        <w:spacing w:line="580" w:lineRule="exact"/>
        <w:ind w:firstLine="632" w:firstLineChars="200"/>
      </w:pPr>
      <w:r>
        <w:rPr>
          <w:rFonts w:hint="eastAsia"/>
        </w:rPr>
        <w:t>全面落实信阳市科学推进新型城镇化实施方案，坚持核心带动、轴带发展、节点提升、对接周边，着力构建“中心城区辐射、副中心城市集聚、县城带动、重点镇支撑”的城镇体系，沿宁西铁路发展轴打造宁西城镇连绵带，加快新农村建设，统筹推进城乡一体化发展。</w:t>
      </w:r>
    </w:p>
    <w:p>
      <w:pPr>
        <w:spacing w:line="580" w:lineRule="exact"/>
        <w:ind w:firstLine="634" w:firstLineChars="200"/>
      </w:pPr>
      <w:r>
        <w:rPr>
          <w:rFonts w:hint="eastAsia"/>
          <w:b/>
          <w:bCs/>
        </w:rPr>
        <w:t>增强中心城区辐射能力。</w:t>
      </w:r>
      <w:r>
        <w:rPr>
          <w:rFonts w:hint="eastAsia"/>
        </w:rPr>
        <w:t>与《信阳市城市总体规划（</w:t>
      </w:r>
      <w:r>
        <w:t>2015-2030</w:t>
      </w:r>
      <w:r>
        <w:rPr>
          <w:rFonts w:hint="eastAsia"/>
        </w:rPr>
        <w:t>年）》相衔接，构建中心城市组团式发展框架。推动浉河区、平桥区、羊山新区、工业城、上天梯管理区、南湾管理区一体规划、同步建设，强化产业集聚、高端服务、现代商贸、信息中介、总部经济、创意创新等功能，将中心城区打造为产城融合、宜居宜业的复合型城区。统筹城市新区生产区、办公区、生活区、商业区等功能区的规划建设，引导优质公共资源向新城区转移。按照改造更新与保护修复并重的要求，健全老城区改造机制，优化提升老城区功能。加快实施</w:t>
      </w:r>
      <w:r>
        <w:t>G107</w:t>
      </w:r>
      <w:r>
        <w:rPr>
          <w:rFonts w:hint="eastAsia"/>
        </w:rPr>
        <w:t>、</w:t>
      </w:r>
      <w:r>
        <w:t>G312</w:t>
      </w:r>
      <w:r>
        <w:rPr>
          <w:rFonts w:hint="eastAsia"/>
        </w:rPr>
        <w:t>信阳市区段改线工程，打通连接新老城区断头路，畅通新老城区交通联系。加快推进罗山县城、明港镇和鸡公山管理区与中心城区组团式发展，加强组团基础设施和公共服务设施共建共享；优先推进快速交通体系建设，建设明港至鸡公山高速公路，打通信阳市区新七大道至罗山县城段，规划建设出山店水库大坝沿淮河至罗山县城快速公路。争取到</w:t>
      </w:r>
      <w:r>
        <w:t>2020</w:t>
      </w:r>
      <w:r>
        <w:rPr>
          <w:rFonts w:hint="eastAsia"/>
        </w:rPr>
        <w:t>年，中心城区常住人口达到</w:t>
      </w:r>
      <w:r>
        <w:t>100</w:t>
      </w:r>
      <w:r>
        <w:rPr>
          <w:rFonts w:hint="eastAsia"/>
        </w:rPr>
        <w:t>万人；组团城市罗山县城常住人口达到</w:t>
      </w:r>
      <w:r>
        <w:t>30</w:t>
      </w:r>
      <w:r>
        <w:rPr>
          <w:rFonts w:hint="eastAsia"/>
        </w:rPr>
        <w:t>万人，明港镇区常住人口达到</w:t>
      </w:r>
      <w:r>
        <w:t>20</w:t>
      </w:r>
      <w:r>
        <w:rPr>
          <w:rFonts w:hint="eastAsia"/>
        </w:rPr>
        <w:t>万人，鸡公山管理区人口达到</w:t>
      </w:r>
      <w:r>
        <w:t>10</w:t>
      </w:r>
      <w:r>
        <w:rPr>
          <w:rFonts w:hint="eastAsia"/>
        </w:rPr>
        <w:t>万人。</w:t>
      </w:r>
    </w:p>
    <w:p>
      <w:pPr>
        <w:spacing w:line="580" w:lineRule="exact"/>
        <w:ind w:firstLine="634" w:firstLineChars="200"/>
      </w:pPr>
      <w:r>
        <w:rPr>
          <w:rFonts w:hint="eastAsia"/>
          <w:b/>
          <w:bCs/>
        </w:rPr>
        <w:t>提升副中心城市发展水平。</w:t>
      </w:r>
      <w:r>
        <w:rPr>
          <w:rFonts w:hint="eastAsia"/>
        </w:rPr>
        <w:t>着眼交通一体、产业同构、资源共享、功能集合，优化空间功能布局，加快推进潢川、光山两县组团式、一体化发展，构建市域副中心城市，支持撤县改市工作。优先推进两县连接通道建设，先期加快推进潢光路升级改造，后期沿潢河两岸再建设两条通道，构建连接两县的便捷交通网络。加快推进潢川经济技术开发区及潢川、光山产业集聚区、商务中心区等载体建设，推动产业集聚发展和基本功能完善，增强就业和人口吸纳能力。推动潢川县城向西南、光山县城向东北发展，加强城区对接，完善县城基础设施，增强综合承载功能。构筑两县与信阳中心城市便捷的综合交通体系，增强经济联系与产业互动发展。争取到</w:t>
      </w:r>
      <w:r>
        <w:t xml:space="preserve"> 2020</w:t>
      </w:r>
      <w:r>
        <w:rPr>
          <w:rFonts w:hint="eastAsia"/>
        </w:rPr>
        <w:t>年，潢川县城常住人口达到</w:t>
      </w:r>
      <w:r>
        <w:t>50</w:t>
      </w:r>
      <w:r>
        <w:rPr>
          <w:rFonts w:hint="eastAsia"/>
        </w:rPr>
        <w:t>万，光山县城常住人口达到</w:t>
      </w:r>
      <w:r>
        <w:t>30</w:t>
      </w:r>
      <w:r>
        <w:rPr>
          <w:rFonts w:hint="eastAsia"/>
        </w:rPr>
        <w:t>万人，两县形成一体化发展格局，市域副中心城市作用进一步增强。</w:t>
      </w:r>
    </w:p>
    <w:p>
      <w:pPr>
        <w:spacing w:line="580" w:lineRule="exact"/>
        <w:ind w:firstLine="634" w:firstLineChars="200"/>
      </w:pPr>
      <w:r>
        <w:rPr>
          <w:rFonts w:hint="eastAsia"/>
          <w:b/>
          <w:bCs/>
        </w:rPr>
        <w:t>大力推动县城发展。</w:t>
      </w:r>
      <w:r>
        <w:rPr>
          <w:rFonts w:hint="eastAsia"/>
        </w:rPr>
        <w:t>把县城发展作为推进城镇化的重点，提升规划建设标准，提高综合承载能力。发挥县城落户成本较低、人文环境相近、进城农民有较强归属感等优势，强化产业和公共服务资源布局引导，强化优质教育资源吸引，促进农村人口就近向县城集聚。推动县城新城区建设和老城区改造，加强新老城区交通连接，有序推进老城区和城乡结合部综合整治改造，同步完善基础设施和公共服务设施，提升城市产业功能、服务功能、居住功能和现代化品质，增强吸纳农业转移人口的能力。到</w:t>
      </w:r>
      <w:r>
        <w:t>2020</w:t>
      </w:r>
      <w:r>
        <w:rPr>
          <w:rFonts w:hint="eastAsia"/>
        </w:rPr>
        <w:t>年，息县县城常住人口达到</w:t>
      </w:r>
      <w:r>
        <w:t>40</w:t>
      </w:r>
      <w:r>
        <w:rPr>
          <w:rFonts w:hint="eastAsia"/>
        </w:rPr>
        <w:t>万人，淮滨县城常住人口达到</w:t>
      </w:r>
      <w:r>
        <w:t>30</w:t>
      </w:r>
      <w:r>
        <w:rPr>
          <w:rFonts w:hint="eastAsia"/>
        </w:rPr>
        <w:t>万人，商城、新县两个县城常住人口分别达</w:t>
      </w:r>
      <w:r>
        <w:t>25</w:t>
      </w:r>
      <w:r>
        <w:rPr>
          <w:rFonts w:hint="eastAsia"/>
        </w:rPr>
        <w:t>万人和</w:t>
      </w:r>
      <w:r>
        <w:t>20</w:t>
      </w:r>
      <w:r>
        <w:rPr>
          <w:rFonts w:hint="eastAsia"/>
        </w:rPr>
        <w:t>万人左右。</w:t>
      </w:r>
    </w:p>
    <w:p>
      <w:pPr>
        <w:spacing w:line="580" w:lineRule="exact"/>
        <w:ind w:firstLine="634" w:firstLineChars="200"/>
      </w:pPr>
      <w:r>
        <w:rPr>
          <w:rFonts w:hint="eastAsia"/>
          <w:b/>
          <w:bCs/>
        </w:rPr>
        <w:t>加强重点镇的支撑作用。</w:t>
      </w:r>
      <w:r>
        <w:rPr>
          <w:rFonts w:hint="eastAsia"/>
        </w:rPr>
        <w:t>发挥小城镇连接城乡的关键节点作用，合理布局，适度发展。支持已经形成一定产业和人口规模、基础条件好的国家和省级重点镇、市级试点镇建设，优选一批具有较好区位优势、较强经济实力、较好设施基础、较大发展潜力的中心镇率先发展，通过加快专业园区建设，进一步提升发展质量，逐步发展成为</w:t>
      </w:r>
      <w:r>
        <w:t>10</w:t>
      </w:r>
      <w:r>
        <w:rPr>
          <w:rFonts w:hint="eastAsia"/>
        </w:rPr>
        <w:t>万人以上的小城市。支持具有资源和产业基础条件的乡镇，通过发展特色明显的种植业、养殖业、农产品加工业和文化旅游服务业，逐步做大城镇规模。对于不具备产业集聚基础的小城镇，重点强化区域服务功能，为周边农村提供生产生活服务。</w:t>
      </w:r>
    </w:p>
    <w:p>
      <w:pPr>
        <w:spacing w:line="580" w:lineRule="exact"/>
        <w:ind w:firstLine="634" w:firstLineChars="200"/>
      </w:pPr>
      <w:r>
        <w:rPr>
          <w:rFonts w:hint="eastAsia"/>
          <w:b/>
          <w:bCs/>
        </w:rPr>
        <w:t>有序推进新农村建设。</w:t>
      </w:r>
      <w:r>
        <w:rPr>
          <w:rFonts w:hint="eastAsia"/>
        </w:rPr>
        <w:t>统筹考虑不同资源禀赋、区位条件、人文积淀和经济社会发展水平以及产业发展基础和前景，有序推进新农村建设，科学合理规划居住、产业、生态和公共设施布局。积极稳妥推进新农村引导点建设，配套完善基础设施和公共服务设施。继续实施规模化集中供水，到</w:t>
      </w:r>
      <w:r>
        <w:t>2020</w:t>
      </w:r>
      <w:r>
        <w:rPr>
          <w:rFonts w:hint="eastAsia"/>
        </w:rPr>
        <w:t>年农村集中供水率达到</w:t>
      </w:r>
      <w:r>
        <w:t>85%</w:t>
      </w:r>
      <w:r>
        <w:rPr>
          <w:rFonts w:hint="eastAsia"/>
        </w:rPr>
        <w:t>以上。提升农村公共服务能力，加强农村基层卫生队伍、师资队伍建设。继续深化、拓展和巩固农村环境综合整治成果，优先在交通干线、旅游线路沿线选择一批产业基础好、生态环境好、人口集聚规模较大的中心村、乡政府所在地，以及自然田园风貌、传统文化等条件较好的特色自然村，开展美丽乡村示范创建。争取到</w:t>
      </w:r>
      <w:r>
        <w:t>2020</w:t>
      </w:r>
      <w:r>
        <w:rPr>
          <w:rFonts w:hint="eastAsia"/>
        </w:rPr>
        <w:t>年，</w:t>
      </w:r>
      <w:r>
        <w:t>60%</w:t>
      </w:r>
      <w:r>
        <w:rPr>
          <w:rFonts w:hint="eastAsia"/>
        </w:rPr>
        <w:t>以上的村庄达到美丽乡村建设要求，有条件的县形成</w:t>
      </w:r>
      <w:r>
        <w:t>2-3</w:t>
      </w:r>
      <w:r>
        <w:rPr>
          <w:rFonts w:hint="eastAsia"/>
        </w:rPr>
        <w:t>条美丽乡村示范带，逐步实现全域美丽乡村建设目标。</w:t>
      </w:r>
    </w:p>
    <w:p>
      <w:pPr>
        <w:pStyle w:val="4"/>
        <w:spacing w:before="0" w:after="0" w:line="580" w:lineRule="exact"/>
        <w:jc w:val="center"/>
        <w:rPr>
          <w:rFonts w:eastAsia="方正仿宋_GBK"/>
        </w:rPr>
      </w:pPr>
      <w:bookmarkStart w:id="121" w:name="_Toc30712"/>
      <w:bookmarkStart w:id="122" w:name="_Toc17395"/>
      <w:r>
        <w:rPr>
          <w:rFonts w:hint="eastAsia" w:eastAsia="方正仿宋_GBK"/>
        </w:rPr>
        <w:t>第二节</w:t>
      </w:r>
      <w:r>
        <w:rPr>
          <w:rFonts w:eastAsia="方正仿宋_GBK"/>
        </w:rPr>
        <w:t xml:space="preserve">  </w:t>
      </w:r>
      <w:r>
        <w:rPr>
          <w:rFonts w:hint="eastAsia" w:eastAsia="方正仿宋_GBK"/>
        </w:rPr>
        <w:t>提高</w:t>
      </w:r>
      <w:bookmarkEnd w:id="121"/>
      <w:r>
        <w:rPr>
          <w:rFonts w:hint="eastAsia" w:eastAsia="方正仿宋_GBK"/>
        </w:rPr>
        <w:t>城镇综合承载能力</w:t>
      </w:r>
      <w:bookmarkEnd w:id="122"/>
    </w:p>
    <w:p>
      <w:pPr>
        <w:spacing w:line="580" w:lineRule="exact"/>
        <w:ind w:firstLine="632" w:firstLineChars="200"/>
      </w:pPr>
      <w:r>
        <w:rPr>
          <w:rFonts w:hint="eastAsia"/>
        </w:rPr>
        <w:t>进一步加强城镇基础设施建设和公共服务设施建设，促进城镇公共资源均衡配置，建设宜居宜业、富有特色的现代化城市。</w:t>
      </w:r>
    </w:p>
    <w:p>
      <w:pPr>
        <w:spacing w:line="580" w:lineRule="exact"/>
        <w:ind w:firstLine="634" w:firstLineChars="200"/>
      </w:pPr>
      <w:r>
        <w:rPr>
          <w:rFonts w:hint="eastAsia"/>
          <w:b/>
          <w:bCs/>
        </w:rPr>
        <w:t>实施城市畅通工程。</w:t>
      </w:r>
      <w:r>
        <w:rPr>
          <w:rFonts w:hint="eastAsia"/>
        </w:rPr>
        <w:t>统筹推进新老城区道路建设，加快打通断头路。加快发展智能交通，融入全省统一的指挥交通云平台、公共出行信息服务平台、多式联运综合运输服务平台，推动交通运输资源在线集成，加强跨地区、跨类型交通信息互联互通。建立统一协调的综合交通安全保障和应急反应机制，完善交通拥堵和事故紧急疏导救援体系。</w:t>
      </w:r>
    </w:p>
    <w:p>
      <w:pPr>
        <w:spacing w:line="580" w:lineRule="exact"/>
        <w:ind w:firstLine="632" w:firstLineChars="200"/>
      </w:pPr>
      <w:r>
        <w:rPr>
          <w:rFonts w:hint="eastAsia"/>
        </w:rPr>
        <w:t>落实公交优先政策，科学布局线网，科学规划和建设公交场站、公交港湾等设施，提升公共交通设施、装备水平，提高公共交通舒适性。加快中心城区公共交通衔接共建，加速城乡公共交通一体化发展。逐步实施公交专用通道，尽快建成明港机场至市区的快速公交系统。加快出租汽车行业改革，促进网络预约等定制交通健康发展。加快信阳高铁站等大型换乘中心建设，逐步实现城市交通、城际交通、高速公路、干线公路、客货运主枢纽等交通方式之间的“零换乘”与“无缝衔接”。</w:t>
      </w:r>
    </w:p>
    <w:p>
      <w:pPr>
        <w:spacing w:line="580" w:lineRule="exact"/>
        <w:ind w:firstLine="632" w:firstLineChars="200"/>
      </w:pPr>
      <w:r>
        <w:rPr>
          <w:rFonts w:hint="eastAsia"/>
        </w:rPr>
        <w:t>大力建设静态交通设施。加快建设交通标线、指示路牌、路灯、信号灯等配套设施。新建住宅小区、大型活动场所和办公楼、商场、写字楼等大型公共建筑必须足额配建停车设施，建设老旧社区停车场。规划区内的单位和居住区按规范配建完善停车位。大幅增加行政服务、商业设施、休闲景点等人员密集场所周边道路公共停车位，逐步取消医院、公园、广场等重点区域停车收费，便利于民。</w:t>
      </w:r>
    </w:p>
    <w:p>
      <w:pPr>
        <w:spacing w:line="580" w:lineRule="exact"/>
        <w:ind w:firstLine="634" w:firstLineChars="200"/>
      </w:pPr>
      <w:r>
        <w:rPr>
          <w:rFonts w:hint="eastAsia"/>
          <w:b/>
          <w:bCs/>
        </w:rPr>
        <w:t>加快市政公用设施建设。</w:t>
      </w:r>
      <w:r>
        <w:rPr>
          <w:rFonts w:hint="eastAsia"/>
        </w:rPr>
        <w:t>加快城市供水工程和水质保障设施建设，积极推进城乡统筹区域供水，加强饮用水水源建设与保护，合理利用水资源，切实保障城市供水安全。推进燃气设施建设，加快向重点镇延伸。加快新老城区的管网配套，有序规划建设具有较高水平的地下综合管廊</w:t>
      </w:r>
      <w:r>
        <w:rPr>
          <w:rStyle w:val="8"/>
        </w:rPr>
        <w:footnoteReference w:id="17"/>
      </w:r>
      <w:r>
        <w:rPr>
          <w:rFonts w:hint="eastAsia"/>
        </w:rPr>
        <w:t>，提升管线安全水平和防灾抗灾能力，逐步消除主要街道架空线，城市地面景观明显好转。实施雨水系统设计重现期分类管理，完成城镇建成区内积水点改造。加快城市污水管网建设，实施城市雨污分流工程，加大污水处理厂、污水管网建设力度，提高污水收集率。在市中心城区建成中水回用工程和污泥处置示范工程，市污水处理厂污泥全部实现无害化处置。密闭收集和运输生活垃圾，实施无害化、减量化、资源化、产业</w:t>
      </w:r>
    </w:p>
    <w:p>
      <w:pPr>
        <w:spacing w:line="580" w:lineRule="exact"/>
      </w:pPr>
      <w:r>
        <w:rPr>
          <w:rFonts w:hint="eastAsia"/>
        </w:rPr>
        <w:t>化“四化”处理。建设海绵城市</w:t>
      </w:r>
      <w:r>
        <w:rPr>
          <w:rStyle w:val="8"/>
        </w:rPr>
        <w:footnoteReference w:id="18"/>
      </w:r>
      <w:r>
        <w:rPr>
          <w:rFonts w:hint="eastAsia"/>
        </w:rPr>
        <w:t>和生态低碳城市</w:t>
      </w:r>
      <w:r>
        <w:t>,</w:t>
      </w:r>
      <w:r>
        <w:rPr>
          <w:rFonts w:hint="eastAsia"/>
        </w:rPr>
        <w:t>加强城市水系保护，加快环城绿带、郊野公园、城市绿道、公共绿地等生态空间建设。</w:t>
      </w:r>
    </w:p>
    <w:p>
      <w:pPr>
        <w:spacing w:line="580" w:lineRule="exact"/>
        <w:ind w:firstLine="634" w:firstLineChars="200"/>
      </w:pPr>
      <w:r>
        <w:rPr>
          <w:rFonts w:hint="eastAsia"/>
          <w:b/>
          <w:bCs/>
        </w:rPr>
        <w:t>健全防灾减灾体系。</w:t>
      </w:r>
      <w:r>
        <w:rPr>
          <w:rFonts w:hint="eastAsia"/>
        </w:rPr>
        <w:t>编制城市防灾减灾规划，建设城市防灾减灾设施，加强应急队伍建设，完善风险防范预警制度和应急预案。推动建立多部门联动的综合协调应急指挥系统。加强救灾物资储备并完善相关管理制度。加快超期服役城市管网改造，确保供水、燃气、电力、热力等重要基础设施和生命线工程安全运行，广场、公园等避难场所布局合理，城市防洪设施达到国家标准，城市消防设施规范达标，城市新建建筑全部达到抗震设防标准。科学合理开发利用城市地下空间，完善人防工程，探索平战结合的商业利用新模式，增强城市的综合防护能力。</w:t>
      </w:r>
    </w:p>
    <w:tbl>
      <w:tblPr>
        <w:tblStyle w:val="7"/>
        <w:tblW w:w="8310" w:type="dxa"/>
        <w:jc w:val="center"/>
        <w:tblInd w:w="0" w:type="dxa"/>
        <w:tblLayout w:type="fixed"/>
        <w:tblCellMar>
          <w:top w:w="0" w:type="dxa"/>
          <w:left w:w="108" w:type="dxa"/>
          <w:bottom w:w="0" w:type="dxa"/>
          <w:right w:w="108" w:type="dxa"/>
        </w:tblCellMar>
      </w:tblPr>
      <w:tblGrid>
        <w:gridCol w:w="8310"/>
      </w:tblGrid>
      <w:tr>
        <w:tblPrEx>
          <w:tblLayout w:type="fixed"/>
          <w:tblCellMar>
            <w:top w:w="0" w:type="dxa"/>
            <w:left w:w="108" w:type="dxa"/>
            <w:bottom w:w="0" w:type="dxa"/>
            <w:right w:w="108"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spacing w:line="400" w:lineRule="exact"/>
              <w:jc w:val="center"/>
              <w:textAlignment w:val="center"/>
              <w:rPr>
                <w:rFonts w:eastAsia="方正小标宋_GBK"/>
                <w:spacing w:val="132"/>
                <w:sz w:val="28"/>
                <w:szCs w:val="24"/>
              </w:rPr>
            </w:pPr>
            <w:r>
              <w:rPr>
                <w:rFonts w:hint="eastAsia" w:eastAsia="方正小标宋_GBK"/>
                <w:sz w:val="28"/>
                <w:szCs w:val="24"/>
              </w:rPr>
              <w:t>专栏</w:t>
            </w:r>
            <w:r>
              <w:rPr>
                <w:rFonts w:eastAsia="方正小标宋_GBK"/>
                <w:sz w:val="28"/>
                <w:szCs w:val="24"/>
              </w:rPr>
              <w:t>18:</w:t>
            </w:r>
            <w:r>
              <w:rPr>
                <w:rFonts w:hint="eastAsia" w:eastAsia="方正小标宋_GBK"/>
                <w:sz w:val="28"/>
                <w:szCs w:val="24"/>
              </w:rPr>
              <w:t>城镇基础设施重大工程</w:t>
            </w:r>
          </w:p>
        </w:tc>
      </w:tr>
      <w:tr>
        <w:tblPrEx>
          <w:tblLayout w:type="fixed"/>
          <w:tblCellMar>
            <w:top w:w="0" w:type="dxa"/>
            <w:left w:w="108" w:type="dxa"/>
            <w:bottom w:w="0" w:type="dxa"/>
            <w:right w:w="108"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城市综合交通设施。</w:t>
            </w:r>
            <w:r>
              <w:rPr>
                <w:rFonts w:hint="eastAsia"/>
                <w:sz w:val="24"/>
                <w:szCs w:val="24"/>
              </w:rPr>
              <w:t>加快建设中心城区和各县城道路、过街天桥、客运中心、公交场站等设施，重点加强中心城区的道路扩建及路网改造。“十三五”末，在中心城区内配建总面积</w:t>
            </w:r>
            <w:r>
              <w:rPr>
                <w:sz w:val="24"/>
                <w:szCs w:val="24"/>
              </w:rPr>
              <w:t>10</w:t>
            </w:r>
            <w:r>
              <w:rPr>
                <w:rFonts w:hint="eastAsia"/>
                <w:sz w:val="24"/>
                <w:szCs w:val="24"/>
              </w:rPr>
              <w:t>万平方米左右的公共停车场。</w:t>
            </w:r>
          </w:p>
          <w:p>
            <w:pPr>
              <w:spacing w:line="400" w:lineRule="exact"/>
              <w:ind w:firstLine="474" w:firstLineChars="200"/>
              <w:rPr>
                <w:sz w:val="24"/>
                <w:szCs w:val="24"/>
              </w:rPr>
            </w:pPr>
            <w:r>
              <w:rPr>
                <w:rFonts w:hint="eastAsia"/>
                <w:b/>
                <w:bCs/>
                <w:sz w:val="24"/>
                <w:szCs w:val="24"/>
              </w:rPr>
              <w:t>城镇供水供气设施。</w:t>
            </w:r>
            <w:r>
              <w:rPr>
                <w:rFonts w:hint="eastAsia"/>
                <w:sz w:val="24"/>
                <w:szCs w:val="24"/>
              </w:rPr>
              <w:t>“十三五”时期，加快推进城镇供水设施建设与升级改造，全面推进城镇供水管网建设，新建、改造供水管网</w:t>
            </w:r>
            <w:r>
              <w:rPr>
                <w:sz w:val="24"/>
                <w:szCs w:val="24"/>
              </w:rPr>
              <w:t>300</w:t>
            </w:r>
            <w:r>
              <w:rPr>
                <w:rFonts w:hint="eastAsia"/>
                <w:sz w:val="24"/>
                <w:szCs w:val="24"/>
              </w:rPr>
              <w:t>公里。中心城区和各县城的燃气普及率分别达到</w:t>
            </w:r>
            <w:r>
              <w:rPr>
                <w:sz w:val="24"/>
                <w:szCs w:val="24"/>
              </w:rPr>
              <w:t>85%</w:t>
            </w:r>
            <w:r>
              <w:rPr>
                <w:rFonts w:hint="eastAsia"/>
                <w:sz w:val="24"/>
                <w:szCs w:val="24"/>
              </w:rPr>
              <w:t>和</w:t>
            </w:r>
            <w:r>
              <w:rPr>
                <w:sz w:val="24"/>
                <w:szCs w:val="24"/>
              </w:rPr>
              <w:t>60%</w:t>
            </w:r>
            <w:r>
              <w:rPr>
                <w:rFonts w:hint="eastAsia"/>
                <w:sz w:val="24"/>
                <w:szCs w:val="24"/>
              </w:rPr>
              <w:t>以上。</w:t>
            </w:r>
          </w:p>
          <w:p>
            <w:pPr>
              <w:spacing w:line="400" w:lineRule="exact"/>
              <w:ind w:firstLine="474" w:firstLineChars="200"/>
              <w:rPr>
                <w:sz w:val="24"/>
                <w:szCs w:val="24"/>
              </w:rPr>
            </w:pPr>
            <w:r>
              <w:rPr>
                <w:rFonts w:hint="eastAsia"/>
                <w:b/>
                <w:bCs/>
                <w:sz w:val="24"/>
                <w:szCs w:val="24"/>
              </w:rPr>
              <w:t>城镇生活污水处理设施及雨水设施。</w:t>
            </w:r>
            <w:r>
              <w:rPr>
                <w:rFonts w:hint="eastAsia"/>
                <w:sz w:val="24"/>
                <w:szCs w:val="24"/>
              </w:rPr>
              <w:t>加快城市污水处理设施建设、扩容和升级改造，全面推进中心城区和县城污水管网建设；加快建设中水回用和污水、污泥处理与综合利用设施，尤其是产业集聚区内污水处理和中水回用设施建设；完善城市雨水系统建设，加快推进雨污分流。</w:t>
            </w:r>
            <w:r>
              <w:rPr>
                <w:sz w:val="24"/>
                <w:szCs w:val="24"/>
              </w:rPr>
              <w:t>2020</w:t>
            </w:r>
            <w:r>
              <w:rPr>
                <w:rFonts w:hint="eastAsia"/>
                <w:sz w:val="24"/>
                <w:szCs w:val="24"/>
              </w:rPr>
              <w:t>年，中心城区污水集中处理率达到</w:t>
            </w:r>
            <w:r>
              <w:rPr>
                <w:sz w:val="24"/>
                <w:szCs w:val="24"/>
              </w:rPr>
              <w:t>98%</w:t>
            </w:r>
            <w:r>
              <w:rPr>
                <w:rFonts w:hint="eastAsia"/>
                <w:sz w:val="24"/>
                <w:szCs w:val="24"/>
              </w:rPr>
              <w:t>，县城污水集中处理率达</w:t>
            </w:r>
            <w:r>
              <w:rPr>
                <w:sz w:val="24"/>
                <w:szCs w:val="24"/>
              </w:rPr>
              <w:t>95%</w:t>
            </w:r>
            <w:r>
              <w:rPr>
                <w:rFonts w:hint="eastAsia"/>
                <w:sz w:val="24"/>
                <w:szCs w:val="24"/>
              </w:rPr>
              <w:t>。</w:t>
            </w:r>
          </w:p>
          <w:p>
            <w:pPr>
              <w:spacing w:line="400" w:lineRule="exact"/>
              <w:ind w:firstLine="474" w:firstLineChars="200"/>
              <w:rPr>
                <w:sz w:val="24"/>
                <w:szCs w:val="24"/>
              </w:rPr>
            </w:pPr>
            <w:r>
              <w:rPr>
                <w:rFonts w:hint="eastAsia"/>
                <w:b/>
                <w:bCs/>
                <w:sz w:val="24"/>
                <w:szCs w:val="24"/>
              </w:rPr>
              <w:t>城镇生活垃圾处理设施。</w:t>
            </w:r>
            <w:r>
              <w:rPr>
                <w:rFonts w:hint="eastAsia"/>
                <w:sz w:val="24"/>
                <w:szCs w:val="24"/>
              </w:rPr>
              <w:t>对已建成使用的垃圾处理场进行扩容改造，完成县城以上垃圾处理场渗滤液处理及环卫设施配套，全面实现建制乡镇生活垃圾无害化集中处理。到“十三五”末，基本实现渗滤液无害化处理，全市生活垃圾无害化处理率达到</w:t>
            </w:r>
            <w:r>
              <w:rPr>
                <w:sz w:val="24"/>
                <w:szCs w:val="24"/>
              </w:rPr>
              <w:t>95%</w:t>
            </w:r>
            <w:r>
              <w:rPr>
                <w:rFonts w:hint="eastAsia"/>
                <w:sz w:val="24"/>
                <w:szCs w:val="24"/>
              </w:rPr>
              <w:t>。</w:t>
            </w:r>
          </w:p>
          <w:p>
            <w:pPr>
              <w:spacing w:line="400" w:lineRule="exact"/>
              <w:ind w:firstLine="474" w:firstLineChars="200"/>
              <w:rPr>
                <w:sz w:val="24"/>
                <w:szCs w:val="24"/>
              </w:rPr>
            </w:pPr>
            <w:r>
              <w:rPr>
                <w:rFonts w:hint="eastAsia"/>
                <w:b/>
                <w:bCs/>
                <w:sz w:val="24"/>
                <w:szCs w:val="24"/>
              </w:rPr>
              <w:t>城镇生态设施。</w:t>
            </w:r>
            <w:r>
              <w:rPr>
                <w:rFonts w:hint="eastAsia"/>
                <w:sz w:val="24"/>
                <w:szCs w:val="24"/>
              </w:rPr>
              <w:t>“十三五”末，城市绿化覆盖率达到</w:t>
            </w:r>
            <w:r>
              <w:rPr>
                <w:sz w:val="24"/>
                <w:szCs w:val="24"/>
              </w:rPr>
              <w:t>42%</w:t>
            </w:r>
            <w:r>
              <w:rPr>
                <w:rFonts w:hint="eastAsia"/>
                <w:sz w:val="24"/>
                <w:szCs w:val="24"/>
              </w:rPr>
              <w:t>，人均公园绿地面积达到</w:t>
            </w:r>
            <w:r>
              <w:rPr>
                <w:sz w:val="24"/>
                <w:szCs w:val="24"/>
              </w:rPr>
              <w:t>12</w:t>
            </w:r>
            <w:r>
              <w:rPr>
                <w:rFonts w:hint="eastAsia"/>
                <w:sz w:val="24"/>
                <w:szCs w:val="24"/>
              </w:rPr>
              <w:t>平方米以上，力争实现“全国绿化模范城市”创建目标。</w:t>
            </w:r>
          </w:p>
        </w:tc>
      </w:tr>
    </w:tbl>
    <w:p>
      <w:pPr>
        <w:pStyle w:val="4"/>
        <w:spacing w:before="0" w:after="0" w:line="580" w:lineRule="exact"/>
        <w:jc w:val="center"/>
        <w:rPr>
          <w:rFonts w:eastAsia="方正仿宋_GBK"/>
        </w:rPr>
      </w:pPr>
      <w:bookmarkStart w:id="123" w:name="_Toc29522"/>
      <w:bookmarkStart w:id="124" w:name="_Toc18379"/>
      <w:r>
        <w:rPr>
          <w:rFonts w:hint="eastAsia" w:eastAsia="方正仿宋_GBK"/>
        </w:rPr>
        <w:t>第三节</w:t>
      </w:r>
      <w:r>
        <w:rPr>
          <w:rFonts w:eastAsia="方正仿宋_GBK"/>
        </w:rPr>
        <w:t xml:space="preserve">  </w:t>
      </w:r>
      <w:r>
        <w:rPr>
          <w:rFonts w:hint="eastAsia" w:eastAsia="方正仿宋_GBK"/>
        </w:rPr>
        <w:t>提高城市管理水平</w:t>
      </w:r>
      <w:bookmarkEnd w:id="123"/>
      <w:bookmarkEnd w:id="124"/>
    </w:p>
    <w:p>
      <w:pPr>
        <w:shd w:val="clear" w:color="auto" w:fill="FFFFFF"/>
        <w:spacing w:line="580" w:lineRule="exact"/>
        <w:ind w:firstLine="632" w:firstLineChars="200"/>
        <w:rPr>
          <w:color w:val="000000"/>
          <w:shd w:val="clear" w:color="auto" w:fill="FFFFFF"/>
        </w:rPr>
      </w:pPr>
      <w:bookmarkStart w:id="125" w:name="_Toc28171"/>
      <w:r>
        <w:rPr>
          <w:rFonts w:hint="eastAsia"/>
          <w:color w:val="000000"/>
          <w:shd w:val="clear" w:color="auto" w:fill="FFFFFF"/>
        </w:rPr>
        <w:t>认识、尊重、顺应城市发展规律，更好发挥法治的引领和规范作用，依法规划、建设和管理城市，贯彻“适用、经济、绿色、美观”的建筑方针，着力转变城市发展方式、塑造城市特色风貌、提升城市环境质量和创新城市管理服务。实现城市有序建设、适度开发、高效运行，努力打造宜居宜业、富有活力、各具特色的现代化城市。</w:t>
      </w:r>
    </w:p>
    <w:p>
      <w:pPr>
        <w:shd w:val="clear" w:color="auto" w:fill="FFFFFF"/>
        <w:spacing w:line="580" w:lineRule="exact"/>
        <w:ind w:firstLine="634" w:firstLineChars="200"/>
        <w:rPr>
          <w:color w:val="000000"/>
        </w:rPr>
      </w:pPr>
      <w:r>
        <w:rPr>
          <w:rFonts w:hint="eastAsia"/>
          <w:b/>
          <w:bCs/>
          <w:color w:val="000000"/>
        </w:rPr>
        <w:t>推进依法治理城市。</w:t>
      </w:r>
      <w:r>
        <w:rPr>
          <w:rFonts w:hint="eastAsia"/>
          <w:color w:val="000000"/>
        </w:rPr>
        <w:t>适应城市规划建设管理新形势和新要求，加强重点领域立法工作。严格执行城市规划建设管理行政决策法定程序，坚决遏制领导干部随意干预城市规划设计和工程建设的现象。严厉惩处规划建设管理违法行为，强化法律责任追究，提高违法违规成本。</w:t>
      </w:r>
    </w:p>
    <w:p>
      <w:pPr>
        <w:shd w:val="clear" w:color="auto" w:fill="FFFFFF"/>
        <w:spacing w:line="580" w:lineRule="exact"/>
        <w:rPr>
          <w:color w:val="000000"/>
        </w:rPr>
      </w:pPr>
      <w:r>
        <w:rPr>
          <w:rFonts w:hint="eastAsia"/>
          <w:color w:val="000000"/>
        </w:rPr>
        <w:t>　　</w:t>
      </w:r>
      <w:r>
        <w:rPr>
          <w:rFonts w:hint="eastAsia"/>
          <w:b/>
          <w:bCs/>
          <w:color w:val="000000"/>
        </w:rPr>
        <w:t>改革城市管理体制。</w:t>
      </w:r>
      <w:r>
        <w:rPr>
          <w:rFonts w:hint="eastAsia"/>
          <w:color w:val="000000"/>
        </w:rPr>
        <w:t>推进市县两级政府规划建设管理机构改革，推行跨部门综合执法。推动执法重心下移和执法事项属地化管理。加强城市管理执法机构和队伍建设，提高管理、执法和服务水平。</w:t>
      </w:r>
    </w:p>
    <w:p>
      <w:pPr>
        <w:shd w:val="clear" w:color="auto" w:fill="FFFFFF"/>
        <w:spacing w:line="580" w:lineRule="exact"/>
        <w:rPr>
          <w:color w:val="000000"/>
        </w:rPr>
      </w:pPr>
      <w:r>
        <w:rPr>
          <w:rFonts w:hint="eastAsia"/>
          <w:color w:val="000000"/>
        </w:rPr>
        <w:t>　　</w:t>
      </w:r>
      <w:r>
        <w:rPr>
          <w:rFonts w:hint="eastAsia"/>
          <w:b/>
          <w:bCs/>
          <w:color w:val="000000"/>
        </w:rPr>
        <w:t>完善城市治理机制。</w:t>
      </w:r>
      <w:r>
        <w:rPr>
          <w:rFonts w:hint="eastAsia"/>
          <w:color w:val="000000"/>
        </w:rPr>
        <w:t>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pPr>
        <w:shd w:val="clear" w:color="auto" w:fill="FFFFFF"/>
        <w:spacing w:line="580" w:lineRule="exact"/>
        <w:rPr>
          <w:color w:val="000000"/>
        </w:rPr>
      </w:pPr>
      <w:r>
        <w:rPr>
          <w:rFonts w:hint="eastAsia"/>
          <w:color w:val="000000"/>
        </w:rPr>
        <w:t>　　</w:t>
      </w:r>
      <w:r>
        <w:rPr>
          <w:rFonts w:hint="eastAsia"/>
          <w:b/>
          <w:bCs/>
          <w:color w:val="000000"/>
        </w:rPr>
        <w:t>推进城市智慧管理。</w:t>
      </w:r>
      <w:r>
        <w:rPr>
          <w:rFonts w:hint="eastAsia"/>
          <w:color w:val="000000"/>
        </w:rPr>
        <w:t>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w:t>
      </w:r>
    </w:p>
    <w:p>
      <w:pPr>
        <w:shd w:val="clear" w:color="auto" w:fill="FFFFFF"/>
        <w:spacing w:line="580" w:lineRule="exact"/>
        <w:ind w:firstLine="634" w:firstLineChars="200"/>
        <w:rPr>
          <w:color w:val="000000"/>
        </w:rPr>
      </w:pPr>
      <w:r>
        <w:rPr>
          <w:rFonts w:hint="eastAsia"/>
          <w:b/>
          <w:bCs/>
          <w:color w:val="000000"/>
        </w:rPr>
        <w:t>提高市民文明素质。</w:t>
      </w:r>
      <w:r>
        <w:rPr>
          <w:rFonts w:hint="eastAsia"/>
          <w:color w:val="000000"/>
        </w:rPr>
        <w:t>以加强和改进城市规划建设管理来满足人民群众日益增长的物质文化需要，以提升市民文明素质推动城市治理水平的不断提高。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pPr>
        <w:pStyle w:val="4"/>
        <w:spacing w:before="0" w:after="0" w:line="580" w:lineRule="exact"/>
        <w:jc w:val="center"/>
        <w:rPr>
          <w:rFonts w:eastAsia="方正仿宋_GBK"/>
        </w:rPr>
      </w:pPr>
      <w:bookmarkStart w:id="126" w:name="_Toc2079"/>
      <w:r>
        <w:rPr>
          <w:rFonts w:hint="eastAsia" w:eastAsia="方正仿宋_GBK"/>
        </w:rPr>
        <w:t>第四节</w:t>
      </w:r>
      <w:r>
        <w:rPr>
          <w:rFonts w:eastAsia="方正仿宋_GBK"/>
        </w:rPr>
        <w:t xml:space="preserve">  </w:t>
      </w:r>
      <w:r>
        <w:rPr>
          <w:rFonts w:hint="eastAsia" w:eastAsia="方正仿宋_GBK"/>
        </w:rPr>
        <w:t>加快城乡一体化示范区</w:t>
      </w:r>
      <w:r>
        <w:rPr>
          <w:rStyle w:val="8"/>
          <w:b w:val="0"/>
          <w:bCs w:val="0"/>
        </w:rPr>
        <w:footnoteReference w:id="19"/>
      </w:r>
      <w:r>
        <w:rPr>
          <w:rFonts w:hint="eastAsia" w:eastAsia="方正仿宋_GBK"/>
        </w:rPr>
        <w:t>建设</w:t>
      </w:r>
      <w:bookmarkEnd w:id="125"/>
      <w:bookmarkEnd w:id="126"/>
    </w:p>
    <w:p>
      <w:pPr>
        <w:spacing w:line="580" w:lineRule="exact"/>
        <w:ind w:firstLine="632" w:firstLineChars="200"/>
      </w:pPr>
      <w:r>
        <w:rPr>
          <w:rFonts w:hint="eastAsia"/>
        </w:rPr>
        <w:t>科学制定示范区总体规划，统筹推进城市功能区开发和新农村建设。推进产业集聚区、都市生态农业园区建设，以产业集聚带动人口集聚，以人口集聚促进城乡繁荣，促进先进制造业、现代服务业、都市生态农业发展，形成以产兴城、以城带产、产城融合的发展格局，打造现代产城融合示范区。树立生态文明理念，统筹推进生态保护、环境治理和环保设施建设，建立健全示范区城乡环境管理长效机制，率先形成人与自然和谐发展的生态文明新格局，打造生态文明建设样板区。将农村公共设施纳入区域性公共设施整体规划，根据发展条件，有序推动城乡公共设施共建、共管、共享，率先形成设施完善、功能齐全、城乡一体的公共服务体系，打造城乡统筹先行区。优化铁路、高速公路、干线公路和水运等多种交通方式组织，完善电商物流、家居物流、农产品物流、冷链物流、城市共同配送等配套体系，积极融入国家物流骨干网络，打造现代商贸物流基地。提升宜居城市品牌影响力，大力发展假日休闲旅游、滨水生态旅游、健康养老旅游等休闲产业，完善医疗服务、健康服务、商务会议等配套功能，加快出山店水库移民安置点建设，打造健康休闲旅游基地。及时总结示范区建设经验，适时推广全市，引领全市城乡一体化发展。</w:t>
      </w:r>
    </w:p>
    <w:p>
      <w:pPr>
        <w:pStyle w:val="4"/>
        <w:spacing w:before="0" w:after="0" w:line="580" w:lineRule="exact"/>
        <w:jc w:val="center"/>
        <w:rPr>
          <w:rFonts w:eastAsia="方正仿宋_GBK"/>
        </w:rPr>
      </w:pPr>
      <w:bookmarkStart w:id="127" w:name="_Toc2285"/>
      <w:r>
        <w:rPr>
          <w:rFonts w:hint="eastAsia" w:eastAsia="方正仿宋_GBK"/>
        </w:rPr>
        <w:t>第五节</w:t>
      </w:r>
      <w:r>
        <w:rPr>
          <w:rFonts w:eastAsia="方正仿宋_GBK"/>
        </w:rPr>
        <w:t xml:space="preserve">  </w:t>
      </w:r>
      <w:r>
        <w:rPr>
          <w:rFonts w:hint="eastAsia" w:eastAsia="方正仿宋_GBK"/>
        </w:rPr>
        <w:t>有序推进农业转移人口市民化</w:t>
      </w:r>
      <w:bookmarkEnd w:id="127"/>
    </w:p>
    <w:p>
      <w:pPr>
        <w:spacing w:line="580" w:lineRule="exact"/>
        <w:ind w:firstLine="632" w:firstLineChars="200"/>
      </w:pPr>
      <w:r>
        <w:rPr>
          <w:rFonts w:hint="eastAsia"/>
        </w:rPr>
        <w:t>建立健全与城镇化健康发展相适应的户籍管理、土地管理和投融资制度，推动城镇化进程，促进城乡产业融合发展，形成新型工农城乡关系。</w:t>
      </w:r>
    </w:p>
    <w:p>
      <w:pPr>
        <w:spacing w:line="580" w:lineRule="exact"/>
        <w:ind w:firstLine="634" w:firstLineChars="200"/>
      </w:pPr>
      <w:r>
        <w:rPr>
          <w:rFonts w:hint="eastAsia"/>
          <w:b/>
          <w:bCs/>
        </w:rPr>
        <w:t>强化“一基本两牵动三保障”机制。</w:t>
      </w:r>
      <w:r>
        <w:rPr>
          <w:rFonts w:hint="eastAsia"/>
        </w:rPr>
        <w:t>突出产业为基、就业为本，强化住房、学校牵动，完善社会保障、农民权益保障、基本公共服务保障。加快城镇户籍制度改革，以把符合落户条件的农业转移人口逐步转为城市居民为重点，努力缩小户籍人口城镇化率和常住人口城镇化率的差距。积极创造条件放开城市户籍限制，同步解决进城务工人员的就业、安居、子女就学、社会保障等问题。鼓励将符合条件的农民纳入城镇住房保障体系，逐步使进城落户农民真正变成市民，享有平等权益。实施居住证制度，努力实现基本公共服务常住人口全覆盖。建立城镇建设用地增加规模同吸纳农业转移人口落户数量挂钩机制。整户转为城市居民的农村居民，允许继续保留承包地、宅基地及农房的收益权或使用权，做好农村社保与城市社保的衔接转换。鼓励进城农民对承包经营权、宅基地等采取转包、租赁、互换、转让等方式进行流转。</w:t>
      </w:r>
    </w:p>
    <w:p>
      <w:pPr>
        <w:spacing w:line="580" w:lineRule="exact"/>
        <w:ind w:firstLine="634" w:firstLineChars="200"/>
      </w:pPr>
      <w:r>
        <w:rPr>
          <w:rFonts w:hint="eastAsia"/>
          <w:b/>
          <w:bCs/>
        </w:rPr>
        <w:t>加大资金投入力度。</w:t>
      </w:r>
      <w:r>
        <w:rPr>
          <w:rFonts w:hint="eastAsia"/>
        </w:rPr>
        <w:t>落实财政转移支付同农业转移人口市民化挂钩机制。市级财政设立城乡建设发展专项基金，补充城乡建设资金的不足，采取以奖代补、先建后补等方式，投入市县城乡基础设施和公共服务设施建设。稳步加大财政性资金投入，将城市维护建设税、城镇公用事业附加、城市基础设施配套费等收入全部用于城镇基础设施建设，土地出让收入扣除现行政策规定必须安排的支出后，主要用于城镇基础设施建设，省财政返还的涉及城市建设的各项收费，市县全额专项用于城镇基础设施建设。建立多元化筹资机制，支持投资平台通过各种方式提高融资能力，深化与金融机构的战略合作，探索运用</w:t>
      </w:r>
      <w:r>
        <w:t>PPP</w:t>
      </w:r>
      <w:r>
        <w:rPr>
          <w:rFonts w:hint="eastAsia"/>
        </w:rPr>
        <w:t>模式</w:t>
      </w:r>
      <w:r>
        <w:rPr>
          <w:rStyle w:val="8"/>
        </w:rPr>
        <w:footnoteReference w:id="20"/>
      </w:r>
      <w:r>
        <w:rPr>
          <w:rFonts w:hint="eastAsia"/>
        </w:rPr>
        <w:t>推进城镇基础设施建设。</w:t>
      </w:r>
    </w:p>
    <w:p>
      <w:pPr>
        <w:pStyle w:val="3"/>
        <w:spacing w:before="0" w:after="0" w:line="580" w:lineRule="exact"/>
        <w:jc w:val="center"/>
        <w:rPr>
          <w:rFonts w:ascii="Times New Roman" w:hAnsi="Times New Roman" w:eastAsia="方正楷体_GBK" w:cs="Times New Roman"/>
        </w:rPr>
      </w:pPr>
      <w:bookmarkStart w:id="128" w:name="_Toc4374"/>
      <w:bookmarkStart w:id="129" w:name="_Toc20054"/>
      <w:r>
        <w:rPr>
          <w:rFonts w:hint="eastAsia" w:ascii="Times New Roman" w:hAnsi="Times New Roman" w:eastAsia="方正楷体_GBK" w:cs="Times New Roman"/>
        </w:rPr>
        <w:t>第十一章</w:t>
      </w:r>
      <w:r>
        <w:rPr>
          <w:rFonts w:ascii="Times New Roman" w:hAnsi="Times New Roman" w:eastAsia="方正楷体_GBK" w:cs="Times New Roman"/>
        </w:rPr>
        <w:t xml:space="preserve">  </w:t>
      </w:r>
      <w:r>
        <w:rPr>
          <w:rFonts w:hint="eastAsia" w:ascii="Times New Roman" w:hAnsi="Times New Roman" w:eastAsia="方正楷体_GBK" w:cs="Times New Roman"/>
        </w:rPr>
        <w:t>加强社会主义精神文明建设</w:t>
      </w:r>
      <w:bookmarkEnd w:id="128"/>
      <w:bookmarkEnd w:id="129"/>
    </w:p>
    <w:p>
      <w:pPr>
        <w:spacing w:line="580" w:lineRule="exact"/>
        <w:ind w:firstLine="632" w:firstLineChars="200"/>
      </w:pPr>
      <w:r>
        <w:rPr>
          <w:rFonts w:hint="eastAsia"/>
        </w:rPr>
        <w:t>坚持社会主义先进文化前进方向，坚持以人民为中心的工作导向，坚持把社会效益放在首位，实现社会效益和经济效益相统一，促进物质文明和精神文明协调发展。</w:t>
      </w:r>
    </w:p>
    <w:p>
      <w:pPr>
        <w:pStyle w:val="4"/>
        <w:spacing w:before="0" w:after="0" w:line="580" w:lineRule="exact"/>
        <w:jc w:val="center"/>
        <w:rPr>
          <w:rFonts w:eastAsia="方正仿宋_GBK"/>
        </w:rPr>
      </w:pPr>
      <w:bookmarkStart w:id="130" w:name="_Toc16465"/>
      <w:bookmarkStart w:id="131" w:name="_Toc14278"/>
      <w:r>
        <w:rPr>
          <w:rFonts w:hint="eastAsia" w:eastAsia="方正仿宋_GBK"/>
        </w:rPr>
        <w:t>第一节</w:t>
      </w:r>
      <w:r>
        <w:rPr>
          <w:rFonts w:eastAsia="方正仿宋_GBK"/>
        </w:rPr>
        <w:t xml:space="preserve">  </w:t>
      </w:r>
      <w:r>
        <w:rPr>
          <w:rFonts w:hint="eastAsia" w:eastAsia="方正仿宋_GBK"/>
        </w:rPr>
        <w:t>提升全社会文明程度</w:t>
      </w:r>
      <w:bookmarkEnd w:id="130"/>
      <w:bookmarkEnd w:id="131"/>
    </w:p>
    <w:p>
      <w:pPr>
        <w:spacing w:line="580" w:lineRule="exact"/>
        <w:ind w:firstLine="632" w:firstLineChars="200"/>
      </w:pPr>
      <w:r>
        <w:rPr>
          <w:rFonts w:hint="eastAsia"/>
        </w:rPr>
        <w:t>以社会主义核心价值观为引领，以德育人、以文化人，加强思想道德和社会诚信建设，弘扬传统美德和时代新风，倡导科学精神和人文精神，全面提高公民素质和社会文明程度。</w:t>
      </w:r>
    </w:p>
    <w:p>
      <w:pPr>
        <w:spacing w:line="580" w:lineRule="exact"/>
        <w:ind w:firstLine="634" w:firstLineChars="200"/>
      </w:pPr>
      <w:r>
        <w:rPr>
          <w:rFonts w:hint="eastAsia"/>
          <w:b/>
          <w:bCs/>
        </w:rPr>
        <w:t>培育和践行社会主义核心价值观。</w:t>
      </w:r>
      <w:r>
        <w:rPr>
          <w:rFonts w:hint="eastAsia"/>
        </w:rPr>
        <w:t>深入开展中国梦和社会主义核心价值观学习宣传教育，凝聚共识，形成奋发向上的精神力量和团结和睦的精神纽带。大力弘扬焦裕禄精神、大别山精神，引导人民群众树立家国情怀，提高精神境界，增强道德自觉。深化未成年人思想道德建设和大学生思想政治教育，推进社会主义核心价值观进教材、进课堂、进头脑。坚定中国特色社会主义理想信念，增强道路自信、理论自信、制度自信，巩固全市人民团结奋斗的共同思想基础。</w:t>
      </w:r>
    </w:p>
    <w:p>
      <w:pPr>
        <w:spacing w:line="580" w:lineRule="exact"/>
        <w:ind w:firstLine="634" w:firstLineChars="200"/>
        <w:rPr>
          <w:color w:val="0000FF"/>
        </w:rPr>
      </w:pPr>
      <w:r>
        <w:rPr>
          <w:rFonts w:hint="eastAsia"/>
          <w:b/>
          <w:bCs/>
        </w:rPr>
        <w:t>继承弘扬优秀传统文化。</w:t>
      </w:r>
      <w:r>
        <w:rPr>
          <w:rFonts w:hint="eastAsia"/>
        </w:rPr>
        <w:t>挖掘和阐发优秀传统文化的思想价值，使优秀传统文化成为新时代鼓舞人民前进的精神力量。支持各县区举办体现民族、民俗、民间特色的各类群众文化活动，培育特色鲜明、气氛浓郁的节日文化，发挥传统文化的思想熏陶和文化教育功能。加大革命遗址和抗战遗址保护力度，培育和弘扬爱国主义精神。</w:t>
      </w:r>
    </w:p>
    <w:p>
      <w:pPr>
        <w:spacing w:line="580" w:lineRule="exact"/>
        <w:ind w:firstLine="634" w:firstLineChars="200"/>
      </w:pPr>
      <w:r>
        <w:rPr>
          <w:rFonts w:hint="eastAsia"/>
          <w:b/>
          <w:bCs/>
        </w:rPr>
        <w:t>倡导社会文明风尚。</w:t>
      </w:r>
      <w:r>
        <w:rPr>
          <w:rFonts w:hint="eastAsia"/>
        </w:rPr>
        <w:t>加强社会公德、职业道德、家庭美德、个人品德教育，引导人民群众增强道德判断力和道德荣誉感，培育知荣辱、讲正气、作奉献、促和谐的良好风尚。加强人文关怀，注重心理疏导，培育自尊自信、理性平和、积极向上的社会心态。深入开展国防教育、革命传统教育，营造浓厚的双拥社会氛围。深入开展文明城市、文明村镇、文明单位、文明家庭等群众性精神文明创建，积极创建国家级文明城市。广泛开展志愿者服务活动。加强科学知识普及教育，提升公民科学文化素养。推进全民阅读，建设“书香信阳”。加快社会信用体系建设，健全守信激励和失信惩戒机制，强化信用意识，营造诚信信阳。</w:t>
      </w:r>
    </w:p>
    <w:p>
      <w:pPr>
        <w:pStyle w:val="4"/>
        <w:spacing w:before="0" w:after="0" w:line="580" w:lineRule="exact"/>
        <w:jc w:val="center"/>
        <w:rPr>
          <w:rFonts w:eastAsia="方正仿宋_GBK"/>
        </w:rPr>
      </w:pPr>
      <w:bookmarkStart w:id="132" w:name="_Toc4657"/>
      <w:bookmarkStart w:id="133" w:name="_Toc25900"/>
      <w:r>
        <w:rPr>
          <w:rFonts w:hint="eastAsia" w:eastAsia="方正仿宋_GBK"/>
        </w:rPr>
        <w:t>第二节</w:t>
      </w:r>
      <w:r>
        <w:rPr>
          <w:rFonts w:eastAsia="方正仿宋_GBK"/>
        </w:rPr>
        <w:t xml:space="preserve">  </w:t>
      </w:r>
      <w:r>
        <w:rPr>
          <w:rFonts w:hint="eastAsia" w:eastAsia="方正仿宋_GBK"/>
        </w:rPr>
        <w:t>提升公共文化服务水平</w:t>
      </w:r>
      <w:bookmarkEnd w:id="132"/>
      <w:bookmarkEnd w:id="133"/>
    </w:p>
    <w:p>
      <w:pPr>
        <w:spacing w:line="580" w:lineRule="exact"/>
        <w:ind w:firstLine="632" w:firstLineChars="200"/>
      </w:pPr>
      <w:r>
        <w:rPr>
          <w:rFonts w:hint="eastAsia"/>
        </w:rPr>
        <w:t>坚持以政府为主导，以农村和城市社区为重点，加大投入力度，逐步健全覆盖城乡的公共文化服务体系。</w:t>
      </w:r>
    </w:p>
    <w:p>
      <w:pPr>
        <w:spacing w:line="580" w:lineRule="exact"/>
        <w:ind w:firstLine="634" w:firstLineChars="200"/>
      </w:pPr>
      <w:r>
        <w:rPr>
          <w:rFonts w:hint="eastAsia"/>
          <w:b/>
          <w:bCs/>
        </w:rPr>
        <w:t>加大公共文化基础设施建设力度。</w:t>
      </w:r>
      <w:r>
        <w:rPr>
          <w:rFonts w:hint="eastAsia"/>
        </w:rPr>
        <w:t>大力实施大别山地区公共文化服务体系建设发展规划，建设布局合理、定位准确、层次分明、满足不同群体需求的城镇社区文化设施体系。完善市级公共美术馆、非物质文化遗产展示馆、青少年文化宫等公共文化设施、场馆建设；提升县区文化馆、图书馆、剧院、电影院等文化设施层次；各乡镇建成符合国家标准的综合性文化站。鼓励个人建设各类文化设施。重点推进一批有影响力的公益性文化场馆建设，深入推进公益文体场馆免费开放。</w:t>
      </w:r>
    </w:p>
    <w:p>
      <w:pPr>
        <w:spacing w:line="580" w:lineRule="exact"/>
        <w:ind w:firstLine="634" w:firstLineChars="200"/>
      </w:pPr>
      <w:r>
        <w:rPr>
          <w:rFonts w:hint="eastAsia"/>
          <w:b/>
          <w:bCs/>
        </w:rPr>
        <w:t>提高公共文化产品和服务供给能力。</w:t>
      </w:r>
      <w:r>
        <w:rPr>
          <w:rFonts w:hint="eastAsia"/>
        </w:rPr>
        <w:t>加大对跨部门、跨行业、跨地域公共文化资源的整合力度，形成政府主导、社会参与、市场运作的公益文化发展新格局。积极推动政府购买公共文化服务和公共文化服务社会化，拓展公共文化服务供给渠道。大力发掘利用地方特色文化资源，积极鼓励和推动艺术创作生产。广泛开展文化服务和文化下乡、文化扶贫活动，丰富文化产品供给。加强公共文化服务数字化建设，推进公共文化服务与科技融合发展，提升公共文化服务现代传播能力。积极发展文学艺术、新闻出版、广播电视等事业。加快全市档案馆建设、档案信息化建设和档案资源、安全利用体系、档案馆爱国主义教育基地建设，创新档案服务手段，增强档案管理现代化水平。积极推进地方史志事业发展。</w:t>
      </w:r>
      <w:r>
        <w:t xml:space="preserve"> </w:t>
      </w:r>
    </w:p>
    <w:p>
      <w:pPr>
        <w:spacing w:line="580" w:lineRule="exact"/>
        <w:ind w:firstLine="634" w:firstLineChars="200"/>
      </w:pPr>
      <w:r>
        <w:rPr>
          <w:rFonts w:hint="eastAsia"/>
          <w:b/>
          <w:bCs/>
        </w:rPr>
        <w:t>加强文化资源的保护与利用。</w:t>
      </w:r>
      <w:r>
        <w:rPr>
          <w:rFonts w:hint="eastAsia"/>
        </w:rPr>
        <w:t>深入普查全市文化遗产资源，从战略的高度实现文化遗产的保护传承和整体性运用。积极组织申报各类文化遗产保护项目。加大破损文物修复力度，对濒危非物质文化遗产进行抢救性保护，扶持民俗展示馆建设，修复和展示优秀传统文化。深度挖掘文化遗产价值，切实加强已开放的文物景区、景点的保护和利用，充分发挥各类文物的历史传承和文化教育作用。建立完善四级非物质文化遗产保护名录体系，鼓励和积极支持传承人开展传承活动，保护优先、合理适度进行非物质文化遗产的产业转化。推进传统村落保护工程，加强古民居、古树木挂牌保护，合理开发利用，使之成为美丽乡村建设的亮点。</w:t>
      </w:r>
    </w:p>
    <w:p>
      <w:pPr>
        <w:pStyle w:val="4"/>
        <w:spacing w:before="0" w:after="0" w:line="580" w:lineRule="exact"/>
        <w:jc w:val="center"/>
        <w:rPr>
          <w:rFonts w:eastAsia="方正仿宋_GBK"/>
        </w:rPr>
      </w:pPr>
      <w:bookmarkStart w:id="134" w:name="_Toc486"/>
      <w:bookmarkStart w:id="135" w:name="_Toc23984"/>
      <w:r>
        <w:rPr>
          <w:rFonts w:hint="eastAsia" w:eastAsia="方正仿宋_GBK"/>
        </w:rPr>
        <w:t>第三节</w:t>
      </w:r>
      <w:r>
        <w:rPr>
          <w:rFonts w:eastAsia="方正仿宋_GBK"/>
        </w:rPr>
        <w:t xml:space="preserve">  </w:t>
      </w:r>
      <w:r>
        <w:rPr>
          <w:rFonts w:hint="eastAsia" w:eastAsia="方正仿宋_GBK"/>
        </w:rPr>
        <w:t>推动文化产业创新发展</w:t>
      </w:r>
      <w:bookmarkEnd w:id="134"/>
      <w:bookmarkEnd w:id="135"/>
    </w:p>
    <w:bookmarkEnd w:id="112"/>
    <w:bookmarkEnd w:id="113"/>
    <w:p>
      <w:pPr>
        <w:spacing w:line="580" w:lineRule="exact"/>
        <w:ind w:firstLine="632" w:firstLineChars="200"/>
      </w:pPr>
      <w:r>
        <w:rPr>
          <w:rFonts w:hint="eastAsia"/>
          <w:color w:val="333333"/>
          <w:shd w:val="clear" w:color="auto" w:fill="FFFFFF"/>
        </w:rPr>
        <w:t>以满足人民群众多样化、多层次、多方面精神文化需求为目标，培育合格文化市场主体，做大做强骨干文化企业，加大推进力度，加快发展步伐，提高质量效益，努力实现文化产业大发展。</w:t>
      </w:r>
    </w:p>
    <w:p>
      <w:pPr>
        <w:spacing w:line="560" w:lineRule="exact"/>
        <w:ind w:firstLine="634" w:firstLineChars="200"/>
      </w:pPr>
      <w:r>
        <w:rPr>
          <w:rFonts w:hint="eastAsia"/>
          <w:b/>
          <w:bCs/>
        </w:rPr>
        <w:t>健全各类文化市场主体。</w:t>
      </w:r>
      <w:r>
        <w:rPr>
          <w:rFonts w:hint="eastAsia"/>
        </w:rPr>
        <w:t>培育和引进特色文化骨干企业，发挥其在创意研发、品牌培育、渠道建设、市场推广等方面的龙头作用，带动文化产业发展。打破地区、行业分割，主动开放市场，鼓励外地企业到本地投资发展文化产业，鼓励其他行业企业和民间资本通过多种形式进入文化产业，把引入外部资源和做强做优本地企业有机结合。鼓励各类合作社、协作体和产业联盟在整合资源、搭建平台等方面发挥积极作用。借鉴产业集聚区建设经验，建设一批文化产业园区。</w:t>
      </w:r>
    </w:p>
    <w:p>
      <w:pPr>
        <w:spacing w:line="560" w:lineRule="exact"/>
        <w:ind w:firstLine="634" w:firstLineChars="200"/>
      </w:pPr>
      <w:r>
        <w:rPr>
          <w:rFonts w:hint="eastAsia"/>
          <w:b/>
          <w:bCs/>
        </w:rPr>
        <w:t>培育特色文化品牌。</w:t>
      </w:r>
      <w:r>
        <w:rPr>
          <w:rFonts w:hint="eastAsia"/>
        </w:rPr>
        <w:t>支持各地实施“一地（县、镇、村）一品”战略，形成一批具有较强影响力和市场竞争力的产品品牌。加快建设区域主题文化产业，打造光山智慧文化、淮滨淮河文化、商城桂花文化、息县“中华第一县”文化、新县将军文化、罗山佛教文化、潢川三黄文化、浉河区茶文化、平桥区楚文化、鸡公山万国建筑文化等各具特色的文化品牌。发挥有代表性的民间手工艺人、工艺美术大师和文化名人在培育文化品牌中的作用。建立文化品牌认证和发布机制，加强宣传推广，完善传统工艺、技艺的认定保护机制，鼓励挖掘、保护、发展中华老字号等民间特色传统技艺，鼓励特色文化企业申报原产地标记，加大知识产权的保护利用力度。</w:t>
      </w:r>
    </w:p>
    <w:p>
      <w:pPr>
        <w:spacing w:line="560" w:lineRule="exact"/>
        <w:ind w:firstLine="634" w:firstLineChars="200"/>
      </w:pPr>
      <w:r>
        <w:rPr>
          <w:rFonts w:hint="eastAsia"/>
          <w:b/>
          <w:bCs/>
        </w:rPr>
        <w:t>促进文化产品交易。</w:t>
      </w:r>
      <w:r>
        <w:rPr>
          <w:rFonts w:hint="eastAsia"/>
        </w:rPr>
        <w:t>完善文化产品营销体系，创新营销理念，发展电子商务、物流配送、连锁经营等现代流通组织和流通形式，依托社交媒体等网络平台，拓展大众消费市场，探索个性化定制服务。支持文化产品参加各类文化产业展会，鼓励有条件的展会设立文化产品展示专区。鼓励“公司</w:t>
      </w:r>
      <w:r>
        <w:t>+</w:t>
      </w:r>
      <w:r>
        <w:rPr>
          <w:rFonts w:hint="eastAsia"/>
        </w:rPr>
        <w:t>农户”经营模式发展，引导一家一户式的传统销售向代理、品牌授权等现代营销转变。借助社会组织、专业机构的营销渠道与营销经验，扩大文化产品销售。提升各类交易平台的信息化和网络化水平，促进文化产品和服务交易。</w:t>
      </w:r>
    </w:p>
    <w:p>
      <w:pPr>
        <w:pStyle w:val="2"/>
        <w:spacing w:before="0" w:after="0" w:line="580" w:lineRule="exact"/>
        <w:jc w:val="center"/>
      </w:pPr>
      <w:bookmarkStart w:id="136" w:name="_Toc19390"/>
      <w:r>
        <w:rPr>
          <w:rFonts w:eastAsia="方正仿宋_GBK"/>
        </w:rPr>
        <w:br w:type="page"/>
      </w:r>
      <w:bookmarkStart w:id="137" w:name="_Toc24837"/>
      <w:r>
        <w:rPr>
          <w:rFonts w:hint="eastAsia"/>
        </w:rPr>
        <w:t>第四篇</w:t>
      </w:r>
      <w:r>
        <w:t xml:space="preserve">  </w:t>
      </w:r>
      <w:r>
        <w:rPr>
          <w:rFonts w:hint="eastAsia"/>
        </w:rPr>
        <w:t>持续提升</w:t>
      </w:r>
      <w:r>
        <w:rPr>
          <w:rFonts w:hint="eastAsia"/>
          <w:color w:val="2B2B2B"/>
          <w:kern w:val="0"/>
          <w:shd w:val="clear" w:color="auto" w:fill="FFFFFF"/>
        </w:rPr>
        <w:t>绿色发展</w:t>
      </w:r>
      <w:bookmarkEnd w:id="137"/>
    </w:p>
    <w:p>
      <w:pPr>
        <w:shd w:val="clear" w:color="auto" w:fill="FFFFFF"/>
        <w:spacing w:line="580" w:lineRule="exact"/>
        <w:ind w:firstLine="632" w:firstLineChars="200"/>
      </w:pPr>
      <w:r>
        <w:rPr>
          <w:rFonts w:hint="eastAsia"/>
        </w:rPr>
        <w:t>将生态建设和环境保护放在首要位置，开展国家主体功能区建设试点示范工作，科学划分主体功能区域，</w:t>
      </w:r>
      <w:r>
        <w:rPr>
          <w:rFonts w:hint="eastAsia"/>
          <w:color w:val="2B2B2B"/>
          <w:shd w:val="clear" w:color="auto" w:fill="FFFFFF"/>
        </w:rPr>
        <w:t>把信阳轻轻放在山水之间，</w:t>
      </w:r>
      <w:r>
        <w:rPr>
          <w:rFonts w:hint="eastAsia"/>
        </w:rPr>
        <w:t>建设和保护青山绿水蓝天红城，</w:t>
      </w:r>
      <w:r>
        <w:rPr>
          <w:rFonts w:hint="eastAsia"/>
          <w:color w:val="2B2B2B"/>
          <w:shd w:val="clear" w:color="auto" w:fill="FFFFFF"/>
        </w:rPr>
        <w:t>在全省率先推进形成主体功能区</w:t>
      </w:r>
      <w:r>
        <w:rPr>
          <w:rFonts w:hint="eastAsia"/>
        </w:rPr>
        <w:t>。</w:t>
      </w:r>
    </w:p>
    <w:p>
      <w:pPr>
        <w:pStyle w:val="3"/>
        <w:spacing w:before="0" w:after="0" w:line="580" w:lineRule="exact"/>
        <w:jc w:val="center"/>
        <w:rPr>
          <w:rFonts w:ascii="Times New Roman" w:hAnsi="Times New Roman" w:eastAsia="方正楷体_GBK" w:cs="Times New Roman"/>
        </w:rPr>
      </w:pPr>
      <w:bookmarkStart w:id="138" w:name="_Toc24117"/>
      <w:r>
        <w:rPr>
          <w:rFonts w:hint="eastAsia" w:ascii="Times New Roman" w:hAnsi="Times New Roman" w:eastAsia="方正楷体_GBK" w:cs="Times New Roman"/>
        </w:rPr>
        <w:t>第十二章</w:t>
      </w:r>
      <w:r>
        <w:rPr>
          <w:rFonts w:ascii="Times New Roman" w:hAnsi="Times New Roman" w:eastAsia="方正楷体_GBK" w:cs="Times New Roman"/>
        </w:rPr>
        <w:t xml:space="preserve">  </w:t>
      </w:r>
      <w:r>
        <w:rPr>
          <w:rFonts w:hint="eastAsia" w:ascii="Times New Roman" w:hAnsi="Times New Roman" w:eastAsia="方正楷体_GBK" w:cs="Times New Roman"/>
        </w:rPr>
        <w:t>建设国家主体功能区试点市</w:t>
      </w:r>
      <w:bookmarkEnd w:id="138"/>
    </w:p>
    <w:p>
      <w:pPr>
        <w:widowControl/>
        <w:shd w:val="clear" w:color="auto" w:fill="FFFFFF"/>
        <w:spacing w:line="580" w:lineRule="exact"/>
        <w:ind w:firstLine="632" w:firstLineChars="200"/>
      </w:pPr>
      <w:r>
        <w:rPr>
          <w:rFonts w:hint="eastAsia"/>
          <w:color w:val="2B2B2B"/>
          <w:shd w:val="clear" w:color="auto" w:fill="FFFFFF"/>
        </w:rPr>
        <w:t>提倡天人合一绿色发展理念，深入贯彻落实国家主体功能区战略，优化县区区域分类，加快建设主体功能区</w:t>
      </w:r>
      <w:r>
        <w:rPr>
          <w:color w:val="2B2B2B"/>
          <w:shd w:val="clear" w:color="auto" w:fill="FFFFFF"/>
        </w:rPr>
        <w:t>,</w:t>
      </w:r>
      <w:r>
        <w:rPr>
          <w:rFonts w:hint="eastAsia"/>
          <w:color w:val="2B2B2B"/>
          <w:shd w:val="clear" w:color="auto" w:fill="FFFFFF"/>
        </w:rPr>
        <w:t>加强生态建设和环境保护，形成绿色发展新局面。</w:t>
      </w:r>
    </w:p>
    <w:p>
      <w:pPr>
        <w:pStyle w:val="4"/>
        <w:spacing w:before="0" w:after="0" w:line="580" w:lineRule="exact"/>
        <w:jc w:val="center"/>
        <w:rPr>
          <w:rFonts w:eastAsia="方正仿宋_GBK"/>
        </w:rPr>
      </w:pPr>
      <w:bookmarkStart w:id="139" w:name="_Toc10157"/>
      <w:r>
        <w:rPr>
          <w:rFonts w:hint="eastAsia" w:eastAsia="方正仿宋_GBK"/>
        </w:rPr>
        <w:t>第一节</w:t>
      </w:r>
      <w:r>
        <w:rPr>
          <w:rFonts w:eastAsia="方正仿宋_GBK"/>
        </w:rPr>
        <w:t xml:space="preserve">  </w:t>
      </w:r>
      <w:r>
        <w:rPr>
          <w:rFonts w:hint="eastAsia" w:eastAsia="方正仿宋_GBK"/>
        </w:rPr>
        <w:t>全面落实试点任务</w:t>
      </w:r>
      <w:bookmarkEnd w:id="139"/>
    </w:p>
    <w:p>
      <w:pPr>
        <w:widowControl/>
        <w:shd w:val="clear" w:color="auto" w:fill="FFFFFF"/>
        <w:spacing w:line="580" w:lineRule="exact"/>
        <w:ind w:firstLine="632" w:firstLineChars="200"/>
        <w:rPr>
          <w:color w:val="2B2B2B"/>
          <w:shd w:val="clear" w:color="auto" w:fill="FFFFFF"/>
        </w:rPr>
      </w:pPr>
      <w:r>
        <w:rPr>
          <w:rFonts w:hint="eastAsia"/>
          <w:color w:val="2B2B2B"/>
          <w:shd w:val="clear" w:color="auto" w:fill="FFFFFF"/>
        </w:rPr>
        <w:t>树立尊重自然、顺应自然、保护自然的生态文明理念，划定生产、生活、生态空间开发管制界限，推动形成符合生态文明要求的生产方式和生活方式，探索限制开发区域科学发展的新模式、新途径。牢固树立“宁要绿水青山，不要金山银山，而且绿水青山就是金山银山”、“保护生态环境就是保护生产力，改善生态环境就是发展生产力”的理念，加快转变发展方式，科学调整开发国土空间，以“一山一水”（大别山、淮河）为重点，着力保护和修复生态环境；发挥自然资源优势，大力发展生态经济；加大民生保障投入力度，让全市人民共享改革发展成果；创新主体功能开发模式，探索建立完善的国土空间开发保护制度，把信阳建成全国人与自然和谐相处的示范区和推进生态文明建设先行区。</w:t>
      </w:r>
    </w:p>
    <w:tbl>
      <w:tblPr>
        <w:tblStyle w:val="7"/>
        <w:tblW w:w="8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方正小标宋_GBK"/>
                <w:sz w:val="28"/>
                <w:szCs w:val="24"/>
              </w:rPr>
            </w:pPr>
            <w:r>
              <w:rPr>
                <w:rFonts w:hint="eastAsia" w:eastAsia="方正小标宋_GBK"/>
                <w:sz w:val="28"/>
                <w:szCs w:val="24"/>
              </w:rPr>
              <w:t>专栏</w:t>
            </w:r>
            <w:r>
              <w:rPr>
                <w:rFonts w:eastAsia="方正小标宋_GBK"/>
                <w:sz w:val="28"/>
                <w:szCs w:val="24"/>
              </w:rPr>
              <w:t>19</w:t>
            </w:r>
            <w:r>
              <w:rPr>
                <w:rFonts w:hint="eastAsia" w:eastAsia="方正小标宋_GBK"/>
                <w:sz w:val="28"/>
                <w:szCs w:val="24"/>
              </w:rPr>
              <w:t>：主体功能区建设试点主要任务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9"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保护优先，探索如何更好地增强生态产品供给能力。</w:t>
            </w:r>
            <w:r>
              <w:rPr>
                <w:rFonts w:hint="eastAsia"/>
                <w:sz w:val="24"/>
                <w:szCs w:val="24"/>
              </w:rPr>
              <w:t>树立保护就是发展、提供生态产品也是发展的理念，积极探索在保护生态环境的过程中创造生态产品、增加生态财富、提升生态价值的途径和方法。探索区域生态功能综合管理的新途径，创新区域生态功能保护、恢复和管理的新机制。</w:t>
            </w:r>
          </w:p>
          <w:p>
            <w:pPr>
              <w:spacing w:line="400" w:lineRule="exact"/>
              <w:ind w:firstLine="474" w:firstLineChars="200"/>
              <w:rPr>
                <w:sz w:val="24"/>
                <w:szCs w:val="24"/>
              </w:rPr>
            </w:pPr>
            <w:r>
              <w:rPr>
                <w:rFonts w:hint="eastAsia"/>
                <w:b/>
                <w:bCs/>
                <w:sz w:val="24"/>
                <w:szCs w:val="24"/>
              </w:rPr>
              <w:t>绿色发展，探索如何更好地发展壮大特色生态经济。</w:t>
            </w:r>
            <w:r>
              <w:rPr>
                <w:rFonts w:hint="eastAsia"/>
                <w:sz w:val="24"/>
                <w:szCs w:val="24"/>
              </w:rPr>
              <w:t>结合产业链条延伸、产业价值链提升、产业集群发展和产业园区建设，把生态环境保护与发展生态经济结合起来，探索壮大特色生态经济的发展模式和发展途径。</w:t>
            </w:r>
          </w:p>
          <w:p>
            <w:pPr>
              <w:spacing w:line="400" w:lineRule="exact"/>
              <w:ind w:firstLine="474" w:firstLineChars="200"/>
              <w:rPr>
                <w:sz w:val="24"/>
                <w:szCs w:val="24"/>
              </w:rPr>
            </w:pPr>
            <w:r>
              <w:rPr>
                <w:rFonts w:hint="eastAsia"/>
                <w:b/>
                <w:bCs/>
                <w:sz w:val="24"/>
                <w:szCs w:val="24"/>
              </w:rPr>
              <w:t>成果共享，探索如何更好地在生态保护和发展中改善民生。</w:t>
            </w:r>
            <w:r>
              <w:rPr>
                <w:rFonts w:hint="eastAsia"/>
                <w:sz w:val="24"/>
                <w:szCs w:val="24"/>
              </w:rPr>
              <w:t>通过模式创新，创造更多的就业机会，创造更多的增收途径，着力提高人民群众的基本公共服务水平，探索在生态保护和发展中改善民生的具体路径和举措，使重点生态功能区建设成为社会各界的自觉行动。</w:t>
            </w:r>
          </w:p>
          <w:p>
            <w:pPr>
              <w:spacing w:line="400" w:lineRule="exact"/>
              <w:ind w:firstLine="474" w:firstLineChars="200"/>
              <w:rPr>
                <w:sz w:val="24"/>
                <w:szCs w:val="24"/>
              </w:rPr>
            </w:pPr>
            <w:r>
              <w:rPr>
                <w:rFonts w:hint="eastAsia"/>
                <w:b/>
                <w:bCs/>
                <w:sz w:val="24"/>
                <w:szCs w:val="24"/>
              </w:rPr>
              <w:t>优化格局，探索如何更好地完善空间结构和布局。</w:t>
            </w:r>
            <w:r>
              <w:rPr>
                <w:rFonts w:hint="eastAsia"/>
                <w:sz w:val="24"/>
                <w:szCs w:val="24"/>
              </w:rPr>
              <w:t>按照“点上开发、面上保护”的要求，控制开发强度，划定城市增长空间、农业发展空间、生态保护空间三条空间开发管制界限，明确功能区布局，综合调控各类空间开发需求，划定生态保护红线，完善生态保护红线管理体系，积极探索空间开发管控的新模式，引导和约束各类开发行为。</w:t>
            </w:r>
          </w:p>
          <w:p>
            <w:pPr>
              <w:spacing w:line="400" w:lineRule="exact"/>
              <w:ind w:firstLine="474" w:firstLineChars="200"/>
              <w:rPr>
                <w:sz w:val="24"/>
                <w:szCs w:val="24"/>
              </w:rPr>
            </w:pPr>
            <w:r>
              <w:rPr>
                <w:rFonts w:hint="eastAsia"/>
                <w:b/>
                <w:bCs/>
                <w:sz w:val="24"/>
                <w:szCs w:val="24"/>
              </w:rPr>
              <w:t>政策引导，探索如何更好地完善配套政策。</w:t>
            </w:r>
            <w:r>
              <w:rPr>
                <w:rFonts w:hint="eastAsia"/>
                <w:sz w:val="24"/>
                <w:szCs w:val="24"/>
              </w:rPr>
              <w:t>坚定不移实施主体功能区制度，建立国土空间保护制度，完善对重点生态功能区的生态补偿机制，加大对关键区域保护的支持力度，落实限制开发区域取消地区生产总值考核的政策，强化对区域生态功能稳定性、生态产品提供能力和生态环境保护制度建立与执行情况的评价和考核。结合实际，探索完善相应配套政策。</w:t>
            </w:r>
          </w:p>
        </w:tc>
      </w:tr>
    </w:tbl>
    <w:p>
      <w:pPr>
        <w:pStyle w:val="4"/>
        <w:keepNext w:val="0"/>
        <w:keepLines w:val="0"/>
        <w:spacing w:before="0" w:after="0" w:line="580" w:lineRule="exact"/>
        <w:jc w:val="center"/>
        <w:rPr>
          <w:rFonts w:eastAsia="方正仿宋_GBK"/>
        </w:rPr>
      </w:pPr>
      <w:bookmarkStart w:id="140" w:name="_Toc5653"/>
      <w:r>
        <w:rPr>
          <w:rFonts w:hint="eastAsia" w:eastAsia="方正仿宋_GBK"/>
        </w:rPr>
        <w:t>第二节</w:t>
      </w:r>
      <w:r>
        <w:rPr>
          <w:rFonts w:eastAsia="方正仿宋_GBK"/>
        </w:rPr>
        <w:t xml:space="preserve">  </w:t>
      </w:r>
      <w:r>
        <w:rPr>
          <w:rFonts w:hint="eastAsia" w:eastAsia="方正仿宋_GBK"/>
        </w:rPr>
        <w:t>优化空间结构和布局</w:t>
      </w:r>
      <w:bookmarkEnd w:id="140"/>
    </w:p>
    <w:p>
      <w:pPr>
        <w:shd w:val="clear" w:color="auto" w:fill="FFFFFF"/>
        <w:spacing w:line="580" w:lineRule="exact"/>
        <w:ind w:firstLine="632" w:firstLineChars="200"/>
        <w:rPr>
          <w:color w:val="2B2B2B"/>
          <w:shd w:val="clear" w:color="auto" w:fill="FFFFFF"/>
        </w:rPr>
      </w:pPr>
      <w:r>
        <w:rPr>
          <w:rFonts w:hint="eastAsia"/>
        </w:rPr>
        <w:t>扎实推进主体功能区规划的实施，发挥试点示范引领作用，总结经验推广全国。根据主体功能定位和空间规划要求，划定并严守生态红线。以主体功能区规划引领各类空间规划，推进“多规合一”。将我市全域划分为城镇、农业、生态三类空间，构建“一城三农五生态”</w:t>
      </w:r>
      <w:r>
        <w:rPr>
          <w:rStyle w:val="8"/>
        </w:rPr>
        <w:footnoteReference w:id="21"/>
      </w:r>
      <w:r>
        <w:rPr>
          <w:rFonts w:hint="eastAsia"/>
        </w:rPr>
        <w:t>空间开发格局，推动各县区依据主体功能定位发展。平桥区以加快城镇化、工业化进程为重点任务，形成中心城区重要的人口和经济密集区；潢川县、息县、淮滨县以保障农产品供给安全和提高农产品供给能力为重点任务，形成重要的粮食生产和现代农业基地；商城县、新县、浉河区、罗山县、光山县以保护和修复生态环境、改善生态环境质量、增强生态服务功能和生态产品供给能力为首要任务，形成保障生态安全的主体区域。推动重点开发区域提高产业和人口聚集度，支持国家重点生态功能区在生态经济先行区建设中先行先试，实行重点生态功能区产业准入负面清单制度，运用好农产品主产区和重点生态功能区的转移支付政策。在三类空间划分基础上，研究细化城镇组织、产业发展、公共服务、基础设施、生态环保等空间布局，进一步优化空间结构。</w:t>
      </w:r>
      <w:r>
        <w:rPr>
          <w:rFonts w:hint="eastAsia"/>
          <w:color w:val="2B2B2B"/>
          <w:shd w:val="clear" w:color="auto" w:fill="FFFFFF"/>
        </w:rPr>
        <w:t>以市县级行政区为单元，率先在市区内搞好试点，探索建立由空间规划、用途管制、领导干部自然资源资产离任审计、差异化绩效考核等构成的空间治理体系。</w:t>
      </w:r>
    </w:p>
    <w:tbl>
      <w:tblPr>
        <w:tblStyle w:val="7"/>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33"/>
        <w:gridCol w:w="706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415" w:hRule="atLeast"/>
          <w:jc w:val="center"/>
        </w:trPr>
        <w:tc>
          <w:tcPr>
            <w:tcW w:w="8385" w:type="dxa"/>
            <w:gridSpan w:val="3"/>
            <w:tcBorders>
              <w:top w:val="single" w:color="auto" w:sz="4" w:space="0"/>
              <w:left w:val="single" w:color="auto" w:sz="4" w:space="0"/>
              <w:bottom w:val="single" w:color="auto" w:sz="4" w:space="0"/>
              <w:right w:val="single" w:color="auto" w:sz="4" w:space="0"/>
            </w:tcBorders>
            <w:vAlign w:val="top"/>
          </w:tcPr>
          <w:p>
            <w:pPr>
              <w:shd w:val="clear" w:color="auto" w:fill="FFFFFF"/>
              <w:spacing w:line="400" w:lineRule="exact"/>
              <w:jc w:val="center"/>
              <w:rPr>
                <w:rFonts w:eastAsia="方正小标宋_GBK"/>
                <w:color w:val="000000"/>
                <w:kern w:val="0"/>
                <w:sz w:val="28"/>
                <w:szCs w:val="24"/>
              </w:rPr>
            </w:pPr>
            <w:r>
              <w:rPr>
                <w:rFonts w:hint="eastAsia" w:eastAsia="方正小标宋_GBK"/>
                <w:sz w:val="28"/>
                <w:szCs w:val="24"/>
              </w:rPr>
              <w:t>专栏</w:t>
            </w:r>
            <w:r>
              <w:rPr>
                <w:rFonts w:eastAsia="方正小标宋_GBK"/>
                <w:sz w:val="28"/>
                <w:szCs w:val="24"/>
              </w:rPr>
              <w:t>20</w:t>
            </w:r>
            <w:r>
              <w:rPr>
                <w:rFonts w:hint="eastAsia" w:eastAsia="方正小标宋_GBK"/>
                <w:sz w:val="28"/>
                <w:szCs w:val="24"/>
              </w:rPr>
              <w:t>：信阳市主体功能区空间格局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restart"/>
            <w:tcBorders>
              <w:top w:val="single" w:color="auto" w:sz="8" w:space="0"/>
              <w:left w:val="single" w:color="auto" w:sz="8" w:space="0"/>
              <w:bottom w:val="single" w:color="auto" w:sz="40" w:space="0"/>
              <w:right w:val="single" w:color="auto" w:sz="8" w:space="0"/>
            </w:tcBorders>
            <w:shd w:val="clear" w:color="auto" w:fill="FFFFFF"/>
            <w:tcMar>
              <w:top w:w="0" w:type="dxa"/>
              <w:left w:w="108" w:type="dxa"/>
              <w:bottom w:w="0" w:type="dxa"/>
              <w:right w:w="108" w:type="dxa"/>
            </w:tcMar>
            <w:vAlign w:val="center"/>
          </w:tcPr>
          <w:p>
            <w:pPr>
              <w:widowControl/>
              <w:spacing w:line="400" w:lineRule="exact"/>
              <w:rPr>
                <w:color w:val="000000"/>
                <w:kern w:val="0"/>
                <w:sz w:val="24"/>
                <w:szCs w:val="24"/>
              </w:rPr>
            </w:pPr>
            <w:r>
              <w:rPr>
                <w:rFonts w:hint="eastAsia"/>
                <w:b/>
                <w:bCs/>
                <w:color w:val="000000"/>
                <w:kern w:val="0"/>
                <w:sz w:val="24"/>
                <w:szCs w:val="24"/>
              </w:rPr>
              <w:t>信阳市城镇空间</w:t>
            </w: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浉河</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车站、民权、老城、五里墩、五星、湖东、金牛山、双井</w:t>
            </w:r>
            <w:r>
              <w:rPr>
                <w:kern w:val="0"/>
                <w:sz w:val="24"/>
                <w:szCs w:val="24"/>
              </w:rPr>
              <w:t>8</w:t>
            </w:r>
            <w:r>
              <w:rPr>
                <w:rFonts w:hint="eastAsia"/>
                <w:kern w:val="0"/>
                <w:sz w:val="24"/>
                <w:szCs w:val="24"/>
              </w:rPr>
              <w:t>个街道办事处、金牛物流产业集聚区和十三里桥乡十三里桥村、肖家庙村、何湾村、叶桥村</w:t>
            </w:r>
            <w:r>
              <w:rPr>
                <w:kern w:val="0"/>
                <w:sz w:val="24"/>
                <w:szCs w:val="24"/>
              </w:rPr>
              <w:t>4</w:t>
            </w:r>
            <w:r>
              <w:rPr>
                <w:rFonts w:hint="eastAsia"/>
                <w:kern w:val="0"/>
                <w:sz w:val="24"/>
                <w:szCs w:val="24"/>
              </w:rPr>
              <w:t>个村及董家河、浉河港、东双河、吴家店</w:t>
            </w:r>
            <w:r>
              <w:rPr>
                <w:kern w:val="0"/>
                <w:sz w:val="24"/>
                <w:szCs w:val="24"/>
              </w:rPr>
              <w:t>4</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平桥</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甘岸、平桥、五里店</w:t>
            </w:r>
            <w:r>
              <w:rPr>
                <w:kern w:val="0"/>
                <w:sz w:val="24"/>
                <w:szCs w:val="24"/>
              </w:rPr>
              <w:t>3</w:t>
            </w:r>
            <w:r>
              <w:rPr>
                <w:rFonts w:hint="eastAsia"/>
                <w:kern w:val="0"/>
                <w:sz w:val="24"/>
                <w:szCs w:val="24"/>
              </w:rPr>
              <w:t>个街道办事处、产业集聚区、平昌关镇的镇区以及明港、洋河、邢集、五里</w:t>
            </w:r>
            <w:r>
              <w:rPr>
                <w:kern w:val="0"/>
                <w:sz w:val="24"/>
                <w:szCs w:val="24"/>
              </w:rPr>
              <w:t>4</w:t>
            </w:r>
            <w:r>
              <w:rPr>
                <w:rFonts w:hint="eastAsia"/>
                <w:kern w:val="0"/>
                <w:sz w:val="24"/>
                <w:szCs w:val="24"/>
              </w:rPr>
              <w:t>个镇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罗山</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宝城、龙山、新城</w:t>
            </w:r>
            <w:r>
              <w:rPr>
                <w:kern w:val="0"/>
                <w:sz w:val="24"/>
                <w:szCs w:val="24"/>
              </w:rPr>
              <w:t>3</w:t>
            </w:r>
            <w:r>
              <w:rPr>
                <w:rFonts w:hint="eastAsia"/>
                <w:kern w:val="0"/>
                <w:sz w:val="24"/>
                <w:szCs w:val="24"/>
              </w:rPr>
              <w:t>个办事处、县产业集聚区和楠杆、竹竿、东铺、莽张、周党、潘新、灵山、铁铺、青山、子路、彭新</w:t>
            </w:r>
            <w:r>
              <w:rPr>
                <w:kern w:val="0"/>
                <w:sz w:val="24"/>
                <w:szCs w:val="24"/>
              </w:rPr>
              <w:t>11</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潢川</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定城、春申、老城和弋阳</w:t>
            </w:r>
            <w:r>
              <w:rPr>
                <w:kern w:val="0"/>
                <w:sz w:val="24"/>
                <w:szCs w:val="24"/>
              </w:rPr>
              <w:t>4</w:t>
            </w:r>
            <w:r>
              <w:rPr>
                <w:rFonts w:hint="eastAsia"/>
                <w:kern w:val="0"/>
                <w:sz w:val="24"/>
                <w:szCs w:val="24"/>
              </w:rPr>
              <w:t>个街道办事处、产业集聚区、经济技术开发区和踅孜、伞陂寺、付店、桃林铺、卜塔集、黄寺岗、双柳树、仁和、江家集</w:t>
            </w:r>
            <w:r>
              <w:rPr>
                <w:kern w:val="0"/>
                <w:sz w:val="24"/>
                <w:szCs w:val="24"/>
              </w:rPr>
              <w:t>9</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息县</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谯楼、淮河、龙湖</w:t>
            </w:r>
            <w:r>
              <w:rPr>
                <w:kern w:val="0"/>
                <w:sz w:val="24"/>
                <w:szCs w:val="24"/>
              </w:rPr>
              <w:t>3</w:t>
            </w:r>
            <w:r>
              <w:rPr>
                <w:rFonts w:hint="eastAsia"/>
                <w:kern w:val="0"/>
                <w:sz w:val="24"/>
                <w:szCs w:val="24"/>
              </w:rPr>
              <w:t>个街道办事处、城东新区、县产业集聚区和项店、夏庄、小茴店、东岳、包信和曹黄林</w:t>
            </w:r>
            <w:r>
              <w:rPr>
                <w:kern w:val="0"/>
                <w:sz w:val="24"/>
                <w:szCs w:val="24"/>
              </w:rPr>
              <w:t>6</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淮滨</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顺河、滨湖、栏杆、桂花</w:t>
            </w:r>
            <w:r>
              <w:rPr>
                <w:kern w:val="0"/>
                <w:sz w:val="24"/>
                <w:szCs w:val="24"/>
              </w:rPr>
              <w:t>4</w:t>
            </w:r>
            <w:r>
              <w:rPr>
                <w:rFonts w:hint="eastAsia"/>
                <w:kern w:val="0"/>
                <w:sz w:val="24"/>
                <w:szCs w:val="24"/>
              </w:rPr>
              <w:t>个办事处、产业集聚区、台头乡和马集、期思、新里、防胡、赵集</w:t>
            </w:r>
            <w:r>
              <w:rPr>
                <w:kern w:val="0"/>
                <w:sz w:val="24"/>
                <w:szCs w:val="24"/>
              </w:rPr>
              <w:t>5</w:t>
            </w:r>
            <w:r>
              <w:rPr>
                <w:rFonts w:hint="eastAsia"/>
                <w:kern w:val="0"/>
                <w:sz w:val="24"/>
                <w:szCs w:val="24"/>
              </w:rPr>
              <w:t>个镇的镇区空间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光山</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弦山、紫水</w:t>
            </w:r>
            <w:r>
              <w:rPr>
                <w:kern w:val="0"/>
                <w:sz w:val="24"/>
                <w:szCs w:val="24"/>
              </w:rPr>
              <w:t>2</w:t>
            </w:r>
            <w:r>
              <w:rPr>
                <w:rFonts w:hint="eastAsia"/>
                <w:kern w:val="0"/>
                <w:sz w:val="24"/>
                <w:szCs w:val="24"/>
              </w:rPr>
              <w:t>个办事处、十里镇、官渡河产业集聚区和孙铁铺、寨河、砖桥、马畈、泼陂河、白雀园</w:t>
            </w:r>
            <w:r>
              <w:rPr>
                <w:kern w:val="0"/>
                <w:sz w:val="24"/>
                <w:szCs w:val="24"/>
              </w:rPr>
              <w:t>6</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商城</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赤城（原城关镇）、鲇鱼山办事处（原鲇鱼山乡）、</w:t>
            </w:r>
            <w:r>
              <w:rPr>
                <w:kern w:val="0"/>
                <w:sz w:val="24"/>
                <w:szCs w:val="24"/>
              </w:rPr>
              <w:t xml:space="preserve">    </w:t>
            </w:r>
            <w:r>
              <w:rPr>
                <w:rFonts w:hint="eastAsia"/>
                <w:kern w:val="0"/>
                <w:sz w:val="24"/>
                <w:szCs w:val="24"/>
              </w:rPr>
              <w:t>河凤桥乡、县产业集聚区和双椿铺、鄢岗、上石桥、汪桥、余集、观庙、汪岗、丰集、达权店</w:t>
            </w:r>
            <w:r>
              <w:rPr>
                <w:kern w:val="0"/>
                <w:sz w:val="24"/>
                <w:szCs w:val="24"/>
              </w:rPr>
              <w:t>9</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新县</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新集镇、县产业集聚区和吴陈河、沙窝、苏河、八里畈</w:t>
            </w:r>
            <w:r>
              <w:rPr>
                <w:kern w:val="0"/>
                <w:sz w:val="24"/>
                <w:szCs w:val="24"/>
              </w:rPr>
              <w:t>4</w:t>
            </w:r>
            <w:r>
              <w:rPr>
                <w:rFonts w:hint="eastAsia"/>
                <w:kern w:val="0"/>
                <w:sz w:val="24"/>
                <w:szCs w:val="24"/>
              </w:rPr>
              <w:t>个镇的镇区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790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ind w:firstLine="472" w:firstLineChars="200"/>
              <w:jc w:val="left"/>
              <w:rPr>
                <w:kern w:val="0"/>
                <w:sz w:val="24"/>
                <w:szCs w:val="24"/>
              </w:rPr>
            </w:pPr>
            <w:r>
              <w:rPr>
                <w:rFonts w:hint="eastAsia"/>
                <w:kern w:val="0"/>
                <w:sz w:val="24"/>
                <w:szCs w:val="24"/>
              </w:rPr>
              <w:t>羊山新区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790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ind w:firstLine="472" w:firstLineChars="200"/>
              <w:jc w:val="left"/>
              <w:rPr>
                <w:kern w:val="0"/>
                <w:sz w:val="24"/>
                <w:szCs w:val="24"/>
              </w:rPr>
            </w:pPr>
            <w:r>
              <w:rPr>
                <w:rFonts w:hint="eastAsia"/>
                <w:kern w:val="0"/>
                <w:sz w:val="24"/>
                <w:szCs w:val="24"/>
              </w:rPr>
              <w:t>信阳工业城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8" w:space="0"/>
              <w:bottom w:val="single" w:color="auto" w:sz="4"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7902" w:type="dxa"/>
            <w:gridSpan w:val="2"/>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00" w:lineRule="exact"/>
              <w:ind w:firstLine="472" w:firstLineChars="200"/>
              <w:jc w:val="left"/>
              <w:rPr>
                <w:kern w:val="0"/>
                <w:sz w:val="24"/>
                <w:szCs w:val="24"/>
              </w:rPr>
            </w:pPr>
            <w:r>
              <w:rPr>
                <w:rFonts w:hint="eastAsia"/>
                <w:kern w:val="0"/>
                <w:sz w:val="24"/>
                <w:szCs w:val="24"/>
              </w:rPr>
              <w:t>上天梯非金属矿管理区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trHeight w:val="460" w:hRule="atLeast"/>
          <w:jc w:val="center"/>
        </w:trPr>
        <w:tc>
          <w:tcPr>
            <w:tcW w:w="483" w:type="dxa"/>
            <w:vMerge w:val="restart"/>
            <w:tcBorders>
              <w:top w:val="single" w:color="auto" w:sz="4" w:space="0"/>
              <w:left w:val="single" w:color="auto" w:sz="4" w:space="0"/>
              <w:bottom w:val="single" w:color="auto" w:sz="40" w:space="0"/>
              <w:right w:val="single" w:color="auto" w:sz="8" w:space="0"/>
            </w:tcBorders>
            <w:shd w:val="clear" w:color="auto" w:fill="FFFFFF"/>
            <w:tcMar>
              <w:top w:w="0" w:type="dxa"/>
              <w:left w:w="108" w:type="dxa"/>
              <w:bottom w:w="0" w:type="dxa"/>
              <w:right w:w="108" w:type="dxa"/>
            </w:tcMar>
            <w:vAlign w:val="center"/>
          </w:tcPr>
          <w:p>
            <w:pPr>
              <w:widowControl/>
              <w:spacing w:line="400" w:lineRule="exact"/>
              <w:rPr>
                <w:b/>
                <w:bCs/>
                <w:color w:val="000000"/>
                <w:kern w:val="0"/>
                <w:sz w:val="24"/>
                <w:szCs w:val="24"/>
              </w:rPr>
            </w:pPr>
          </w:p>
          <w:p>
            <w:pPr>
              <w:widowControl/>
              <w:spacing w:line="400" w:lineRule="exact"/>
              <w:rPr>
                <w:b/>
                <w:bCs/>
                <w:color w:val="000000"/>
                <w:kern w:val="0"/>
                <w:sz w:val="24"/>
                <w:szCs w:val="24"/>
              </w:rPr>
            </w:pPr>
          </w:p>
          <w:p>
            <w:pPr>
              <w:widowControl/>
              <w:spacing w:line="400" w:lineRule="exact"/>
              <w:rPr>
                <w:b/>
                <w:bCs/>
                <w:color w:val="000000"/>
                <w:kern w:val="0"/>
                <w:sz w:val="24"/>
                <w:szCs w:val="24"/>
              </w:rPr>
            </w:pPr>
          </w:p>
          <w:p>
            <w:pPr>
              <w:widowControl/>
              <w:spacing w:line="400" w:lineRule="exact"/>
              <w:rPr>
                <w:b/>
                <w:bCs/>
                <w:color w:val="000000"/>
                <w:kern w:val="0"/>
                <w:sz w:val="24"/>
                <w:szCs w:val="24"/>
              </w:rPr>
            </w:pPr>
          </w:p>
          <w:p>
            <w:pPr>
              <w:widowControl/>
              <w:spacing w:line="400" w:lineRule="exact"/>
              <w:rPr>
                <w:b/>
                <w:bCs/>
                <w:color w:val="000000"/>
                <w:kern w:val="0"/>
                <w:sz w:val="24"/>
                <w:szCs w:val="24"/>
              </w:rPr>
            </w:pPr>
          </w:p>
          <w:p>
            <w:pPr>
              <w:widowControl/>
              <w:spacing w:line="400" w:lineRule="exact"/>
              <w:rPr>
                <w:color w:val="000000"/>
                <w:kern w:val="0"/>
                <w:sz w:val="24"/>
                <w:szCs w:val="24"/>
              </w:rPr>
            </w:pPr>
            <w:r>
              <w:rPr>
                <w:rFonts w:hint="eastAsia"/>
                <w:b/>
                <w:bCs/>
                <w:color w:val="000000"/>
                <w:kern w:val="0"/>
                <w:sz w:val="24"/>
                <w:szCs w:val="24"/>
              </w:rPr>
              <w:t>信阳市农业空间</w:t>
            </w:r>
          </w:p>
        </w:tc>
        <w:tc>
          <w:tcPr>
            <w:tcW w:w="83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浉河</w:t>
            </w:r>
          </w:p>
        </w:tc>
        <w:tc>
          <w:tcPr>
            <w:tcW w:w="7069" w:type="dxa"/>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十三里桥乡（除十三里桥村、肖家庙村、何湾村、叶桥村</w:t>
            </w:r>
            <w:r>
              <w:rPr>
                <w:kern w:val="0"/>
                <w:sz w:val="24"/>
                <w:szCs w:val="24"/>
              </w:rPr>
              <w:t>4</w:t>
            </w:r>
            <w:r>
              <w:rPr>
                <w:rFonts w:hint="eastAsia"/>
                <w:kern w:val="0"/>
                <w:sz w:val="24"/>
                <w:szCs w:val="24"/>
              </w:rPr>
              <w:t>个村以外的区域）、游河乡和吴家店镇（除镇区以外的区域）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trHeight w:val="90" w:hRule="atLeast"/>
          <w:jc w:val="center"/>
        </w:trPr>
        <w:tc>
          <w:tcPr>
            <w:tcW w:w="483" w:type="dxa"/>
            <w:vMerge w:val="continue"/>
            <w:tcBorders>
              <w:top w:val="single" w:color="auto" w:sz="40"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平桥</w:t>
            </w:r>
          </w:p>
        </w:tc>
        <w:tc>
          <w:tcPr>
            <w:tcW w:w="7069"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肖王乡、平昌关镇（除镇区以外的区域）、龙井乡、胡店乡、长台关乡、肖店乡、查山乡和彭家湾乡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trHeight w:val="90" w:hRule="atLeast"/>
          <w:jc w:val="center"/>
        </w:trPr>
        <w:tc>
          <w:tcPr>
            <w:tcW w:w="483" w:type="dxa"/>
            <w:vMerge w:val="continue"/>
            <w:tcBorders>
              <w:top w:val="single" w:color="auto" w:sz="40" w:space="0"/>
              <w:left w:val="single" w:color="auto" w:sz="4" w:space="0"/>
              <w:bottom w:val="single" w:color="auto" w:sz="4"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罗山</w:t>
            </w:r>
          </w:p>
        </w:tc>
        <w:tc>
          <w:tcPr>
            <w:tcW w:w="7069" w:type="dxa"/>
            <w:tcBorders>
              <w:top w:val="single" w:color="auto" w:sz="8" w:space="0"/>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尤店、高店、东铺、楠杆、周党、竹竿、子路、庙仙、莽张</w:t>
            </w:r>
            <w:r>
              <w:rPr>
                <w:kern w:val="0"/>
                <w:sz w:val="24"/>
                <w:szCs w:val="24"/>
              </w:rPr>
              <w:t>9</w:t>
            </w:r>
            <w:r>
              <w:rPr>
                <w:rFonts w:hint="eastAsia"/>
                <w:kern w:val="0"/>
                <w:sz w:val="24"/>
                <w:szCs w:val="24"/>
              </w:rPr>
              <w:t>个乡镇（建制镇镇区除外）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潢川</w:t>
            </w:r>
          </w:p>
        </w:tc>
        <w:tc>
          <w:tcPr>
            <w:tcW w:w="70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踅孜镇、来龙乡、上油岗乡、魏岗乡、谈店乡、伞陂寺镇、黄寺岗镇、付店镇、隆古乡、传流店乡、张集乡、桃林铺镇和黄湖农场（建制镇镇区除外）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1"/>
          <w:wAfter w:w="27" w:type="dxa"/>
          <w:cantSplit/>
          <w:jc w:val="center"/>
        </w:trPr>
        <w:tc>
          <w:tcPr>
            <w:tcW w:w="483" w:type="dxa"/>
            <w:vMerge w:val="continue"/>
            <w:tcBorders>
              <w:top w:val="single" w:color="auto" w:sz="40"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息县</w:t>
            </w:r>
          </w:p>
        </w:tc>
        <w:tc>
          <w:tcPr>
            <w:tcW w:w="7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孙庙乡、项店镇、夏庄镇、长陵乡、彭店乡、路口乡、杨店乡、张陶乡、小茴店镇、白土店乡、东岳镇、包信镇和岗李店乡（建制镇镇区除外）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40"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淮滨</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王店乡、期思镇、芦集乡、张庄乡、谷堆乡、新里镇、防胡镇、固城乡、张里乡、赵集镇、马集镇、栏杆街道办事处、台头乡、王家岗乡、三空桥乡和邓湾乡（建制镇镇区除外）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40"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光山</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仙居、孙铁铺、寨河、北向店、罗陈、砖桥、斛山</w:t>
            </w:r>
            <w:r>
              <w:rPr>
                <w:kern w:val="0"/>
                <w:sz w:val="24"/>
                <w:szCs w:val="24"/>
              </w:rPr>
              <w:t>7</w:t>
            </w:r>
            <w:r>
              <w:rPr>
                <w:rFonts w:hint="eastAsia"/>
                <w:kern w:val="0"/>
                <w:sz w:val="24"/>
                <w:szCs w:val="24"/>
              </w:rPr>
              <w:t>个乡镇（建制镇镇区除外）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40" w:space="0"/>
              <w:left w:val="single" w:color="auto" w:sz="4" w:space="0"/>
              <w:bottom w:val="single" w:color="auto" w:sz="40"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商城</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kern w:val="0"/>
                <w:sz w:val="24"/>
                <w:szCs w:val="24"/>
              </w:rPr>
            </w:pPr>
            <w:r>
              <w:rPr>
                <w:rFonts w:hint="eastAsia"/>
                <w:kern w:val="0"/>
                <w:sz w:val="24"/>
                <w:szCs w:val="24"/>
              </w:rPr>
              <w:t>李集乡、鄢岗镇和上石桥镇以及双椿铺镇的北半部（即原三里坪乡以外的区域）（建制镇镇区除外）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40" w:space="0"/>
              <w:left w:val="single" w:color="auto" w:sz="4"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新县</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吴陈河镇（除镇区以外的区域）和浒湾乡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trHeight w:val="1048" w:hRule="atLeast"/>
          <w:jc w:val="center"/>
        </w:trPr>
        <w:tc>
          <w:tcPr>
            <w:tcW w:w="483"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color w:val="000000"/>
                <w:kern w:val="0"/>
                <w:sz w:val="24"/>
                <w:szCs w:val="24"/>
              </w:rPr>
            </w:pPr>
            <w:r>
              <w:rPr>
                <w:rFonts w:hint="eastAsia"/>
                <w:b/>
                <w:bCs/>
                <w:color w:val="000000"/>
                <w:kern w:val="0"/>
                <w:sz w:val="24"/>
                <w:szCs w:val="24"/>
              </w:rPr>
              <w:t>信阳市生态空间</w:t>
            </w: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浉河</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四望山自然保护区所涉及的范围以及东双河、董家河、浉河港除镇区以外的区域和柳林、谭家河</w:t>
            </w:r>
            <w:r>
              <w:rPr>
                <w:kern w:val="0"/>
                <w:sz w:val="24"/>
                <w:szCs w:val="24"/>
              </w:rPr>
              <w:t>2</w:t>
            </w:r>
            <w:r>
              <w:rPr>
                <w:rFonts w:hint="eastAsia"/>
                <w:kern w:val="0"/>
                <w:sz w:val="24"/>
                <w:szCs w:val="24"/>
              </w:rPr>
              <w:t>个乡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平桥</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天目山自然保护区、震雷山风景名胜区、两河口湿地公园所涉及的范围以及城阳城址保护区、兰店乡、高粱店乡和王岗乡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罗山</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董寨自然保护区、灵山风景名胜区所涉及的范围以及青山、朱堂、灵山、潘新、彭新、铁铺、山店、定远</w:t>
            </w:r>
            <w:r>
              <w:rPr>
                <w:kern w:val="0"/>
                <w:sz w:val="24"/>
                <w:szCs w:val="24"/>
              </w:rPr>
              <w:t>8</w:t>
            </w:r>
            <w:r>
              <w:rPr>
                <w:rFonts w:hint="eastAsia"/>
                <w:kern w:val="0"/>
                <w:sz w:val="24"/>
                <w:szCs w:val="24"/>
              </w:rPr>
              <w:t>个乡镇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color w:val="000000"/>
                <w:kern w:val="0"/>
                <w:sz w:val="24"/>
                <w:szCs w:val="24"/>
              </w:rPr>
            </w:pPr>
            <w:r>
              <w:rPr>
                <w:rFonts w:hint="eastAsia"/>
                <w:kern w:val="0"/>
                <w:sz w:val="24"/>
                <w:szCs w:val="24"/>
              </w:rPr>
              <w:t>潢川</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潢河中华鳖保护区所涉及的范围以及卜塔集镇、双柳树镇、仁和镇、江家集镇和白店乡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息县</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息州森林公园、淮河湿地公园所涉及的范围以及陈棚乡、临河乡、关店乡、八里岔乡、曹黄林镇和濮公山管理区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trHeight w:val="1097" w:hRule="atLeas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淮滨</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淮南湿地自然保护区涉及的范围、县城区东西湖、大西湖及赵集镇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光山</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紫水森林公园、泼河和五岳水产种质资源保护区所涉及的范围以及中部的文殊乡、槐店乡、净居寺管理区</w:t>
            </w:r>
            <w:r>
              <w:rPr>
                <w:kern w:val="0"/>
                <w:sz w:val="24"/>
                <w:szCs w:val="24"/>
              </w:rPr>
              <w:t>3</w:t>
            </w:r>
            <w:r>
              <w:rPr>
                <w:rFonts w:hint="eastAsia"/>
                <w:kern w:val="0"/>
                <w:sz w:val="24"/>
                <w:szCs w:val="24"/>
              </w:rPr>
              <w:t>个乡镇和南部的马畈乡、殷棚乡、南向店、晏河乡、泼陂河镇、凉亭乡、白雀园镇</w:t>
            </w:r>
            <w:r>
              <w:rPr>
                <w:kern w:val="0"/>
                <w:sz w:val="24"/>
                <w:szCs w:val="24"/>
              </w:rPr>
              <w:t>7</w:t>
            </w:r>
            <w:r>
              <w:rPr>
                <w:rFonts w:hint="eastAsia"/>
                <w:kern w:val="0"/>
                <w:sz w:val="24"/>
                <w:szCs w:val="24"/>
              </w:rPr>
              <w:t>个乡镇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商城</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鲇鱼山自然保护区、黄柏山林场、黄缘闭壳龟自然保护区、金刚台自然保护区所涉及的范围以及双椿铺镇的南半部（原三里坪乡）、汪桥镇、观庙镇、余集镇、吴河乡、汪岗镇、金刚台乡、丰集镇、苏仙石乡、冯店乡、达权店镇、伏山乡、长竹园乡和汤泉池管理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8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kern w:val="0"/>
                <w:sz w:val="24"/>
                <w:szCs w:val="24"/>
              </w:rPr>
            </w:pPr>
            <w:r>
              <w:rPr>
                <w:rFonts w:hint="eastAsia"/>
                <w:kern w:val="0"/>
                <w:sz w:val="24"/>
                <w:szCs w:val="24"/>
              </w:rPr>
              <w:t>新县</w:t>
            </w:r>
          </w:p>
        </w:tc>
        <w:tc>
          <w:tcPr>
            <w:tcW w:w="7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72" w:firstLineChars="200"/>
              <w:rPr>
                <w:color w:val="000000"/>
                <w:kern w:val="0"/>
                <w:sz w:val="24"/>
                <w:szCs w:val="24"/>
              </w:rPr>
            </w:pPr>
            <w:r>
              <w:rPr>
                <w:rFonts w:hint="eastAsia"/>
                <w:kern w:val="0"/>
                <w:sz w:val="24"/>
                <w:szCs w:val="24"/>
              </w:rPr>
              <w:t>连康山自然保护区、黄缘闭壳龟自然保护区、金兰山森林公园、黄毛尖森林公园所涉及的范围以及香山湖管理区、田铺乡、泗店乡、箭厂河乡、陈店乡、周河乡、郭家河乡、沙窝镇、卡房乡、苏河镇、千斤乡、陡山河和八里畈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7929"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rPr>
                <w:color w:val="000000"/>
                <w:kern w:val="0"/>
                <w:sz w:val="24"/>
                <w:szCs w:val="24"/>
              </w:rPr>
            </w:pPr>
            <w:r>
              <w:rPr>
                <w:rFonts w:hint="eastAsia"/>
                <w:color w:val="000000"/>
                <w:kern w:val="0"/>
                <w:sz w:val="24"/>
                <w:szCs w:val="24"/>
              </w:rPr>
              <w:t>南湾湖风景区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cantSplit/>
          <w:jc w:val="center"/>
        </w:trPr>
        <w:tc>
          <w:tcPr>
            <w:tcW w:w="48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00" w:lineRule="exact"/>
              <w:jc w:val="left"/>
              <w:rPr>
                <w:color w:val="000000"/>
                <w:kern w:val="0"/>
                <w:sz w:val="24"/>
                <w:szCs w:val="24"/>
              </w:rPr>
            </w:pPr>
          </w:p>
        </w:tc>
        <w:tc>
          <w:tcPr>
            <w:tcW w:w="7929"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rPr>
                <w:color w:val="000000"/>
                <w:kern w:val="0"/>
                <w:sz w:val="24"/>
                <w:szCs w:val="24"/>
              </w:rPr>
            </w:pPr>
            <w:r>
              <w:rPr>
                <w:rFonts w:hint="eastAsia"/>
                <w:color w:val="000000"/>
                <w:kern w:val="0"/>
                <w:sz w:val="24"/>
                <w:szCs w:val="24"/>
              </w:rPr>
              <w:t>鸡公山管理区</w:t>
            </w:r>
          </w:p>
        </w:tc>
      </w:tr>
    </w:tbl>
    <w:p>
      <w:pPr>
        <w:pStyle w:val="3"/>
        <w:spacing w:before="0" w:after="0" w:line="580" w:lineRule="exact"/>
        <w:jc w:val="center"/>
        <w:rPr>
          <w:rFonts w:ascii="Times New Roman" w:hAnsi="Times New Roman" w:eastAsia="方正楷体_GBK" w:cs="Times New Roman"/>
        </w:rPr>
      </w:pPr>
      <w:bookmarkStart w:id="141" w:name="_Toc158"/>
      <w:r>
        <w:rPr>
          <w:rFonts w:hint="eastAsia" w:ascii="Times New Roman" w:hAnsi="Times New Roman" w:eastAsia="方正楷体_GBK" w:cs="Times New Roman"/>
        </w:rPr>
        <w:t>第十三章</w:t>
      </w:r>
      <w:r>
        <w:rPr>
          <w:rFonts w:ascii="Times New Roman" w:hAnsi="Times New Roman" w:eastAsia="方正楷体_GBK" w:cs="Times New Roman"/>
        </w:rPr>
        <w:t xml:space="preserve">  </w:t>
      </w:r>
      <w:r>
        <w:rPr>
          <w:rFonts w:hint="eastAsia" w:ascii="Times New Roman" w:hAnsi="Times New Roman" w:eastAsia="方正楷体_GBK" w:cs="Times New Roman"/>
        </w:rPr>
        <w:t>加大环境保护力度</w:t>
      </w:r>
      <w:bookmarkEnd w:id="141"/>
    </w:p>
    <w:p>
      <w:pPr>
        <w:spacing w:line="580" w:lineRule="exact"/>
        <w:ind w:firstLine="632" w:firstLineChars="200"/>
      </w:pPr>
      <w:r>
        <w:rPr>
          <w:rFonts w:hint="eastAsia"/>
        </w:rPr>
        <w:t>以提高环境质量为核心，实行最严格的环境保护制度，深入实施大气、水、土壤污染防治行动计划，形成政府、企业、公众共治的环境治理体系。</w:t>
      </w:r>
    </w:p>
    <w:p>
      <w:pPr>
        <w:pStyle w:val="4"/>
        <w:spacing w:before="0" w:after="0" w:line="580" w:lineRule="exact"/>
        <w:jc w:val="center"/>
        <w:rPr>
          <w:rFonts w:eastAsia="方正仿宋_GBK"/>
        </w:rPr>
      </w:pPr>
      <w:bookmarkStart w:id="142" w:name="_Toc7474"/>
      <w:r>
        <w:rPr>
          <w:rFonts w:hint="eastAsia" w:eastAsia="方正仿宋_GBK"/>
        </w:rPr>
        <w:t>第一节</w:t>
      </w:r>
      <w:r>
        <w:rPr>
          <w:rFonts w:eastAsia="方正仿宋_GBK"/>
        </w:rPr>
        <w:t xml:space="preserve">  </w:t>
      </w:r>
      <w:r>
        <w:rPr>
          <w:rFonts w:hint="eastAsia" w:eastAsia="方正仿宋_GBK"/>
        </w:rPr>
        <w:t>实施蓝天工程</w:t>
      </w:r>
      <w:bookmarkEnd w:id="142"/>
    </w:p>
    <w:p>
      <w:pPr>
        <w:spacing w:line="580" w:lineRule="exact"/>
        <w:ind w:firstLine="632" w:firstLineChars="200"/>
      </w:pPr>
      <w:r>
        <w:rPr>
          <w:rFonts w:hint="eastAsia"/>
        </w:rPr>
        <w:t>加强二氧化硫、氮氧化物、颗粒物、扬尘、工业烟粉尘、挥发性有机物以及城市面源等多种污染物协同控制，确保全市空气质量优良天数明显增加。</w:t>
      </w:r>
    </w:p>
    <w:p>
      <w:pPr>
        <w:spacing w:line="580" w:lineRule="exact"/>
        <w:ind w:firstLine="634" w:firstLineChars="200"/>
      </w:pPr>
      <w:r>
        <w:rPr>
          <w:rFonts w:hint="eastAsia"/>
          <w:b/>
          <w:bCs/>
        </w:rPr>
        <w:t>控制生产型污染</w:t>
      </w:r>
      <w:r>
        <w:rPr>
          <w:rFonts w:hint="eastAsia"/>
        </w:rPr>
        <w:t>。全面完成燃煤电厂超低排放</w:t>
      </w:r>
      <w:r>
        <w:rPr>
          <w:rStyle w:val="8"/>
        </w:rPr>
        <w:footnoteReference w:id="22"/>
      </w:r>
      <w:r>
        <w:rPr>
          <w:rFonts w:hint="eastAsia"/>
        </w:rPr>
        <w:t>改造以及钢铁、水泥、建材等行业脱硫脱硝除尘达标治理，推进工业锅炉及炉窑烟气脱硫、低氮燃烧和高效除尘改造，完善中小型高排放企业退出机制。完善挥发性有机物产品准入标准和监控体系，有效治理石化、表面涂装、包装印刷等行业挥发性有机物污染。控制餐饮油烟等低矮面源污染。加强铅、汞等重金属、危险废物、固体废物污染治理，加快处理设施建设。</w:t>
      </w:r>
    </w:p>
    <w:p>
      <w:pPr>
        <w:spacing w:line="580" w:lineRule="exact"/>
        <w:ind w:firstLine="634" w:firstLineChars="200"/>
      </w:pPr>
      <w:r>
        <w:rPr>
          <w:rFonts w:hint="eastAsia"/>
          <w:b/>
          <w:bCs/>
        </w:rPr>
        <w:t>综合整治城市扬尘和机动车污染。</w:t>
      </w:r>
      <w:r>
        <w:rPr>
          <w:rFonts w:hint="eastAsia"/>
        </w:rPr>
        <w:t>实施更加严格的施工扬尘污染防治排放标准，推进绿色施工，健全道路遗撒监控系统，推进道路保洁扫、洗和收集一体化。加强机动车环保管理，实施机动车尾气检测维护（</w:t>
      </w:r>
      <w:r>
        <w:t>I/M</w:t>
      </w:r>
      <w:r>
        <w:rPr>
          <w:rFonts w:hint="eastAsia"/>
        </w:rPr>
        <w:t>）制度和新车国</w:t>
      </w:r>
      <w:r>
        <w:t>V</w:t>
      </w:r>
      <w:r>
        <w:rPr>
          <w:rFonts w:hint="eastAsia"/>
        </w:rPr>
        <w:t>排放标准，稳步推进油品升级。</w:t>
      </w:r>
    </w:p>
    <w:p>
      <w:pPr>
        <w:spacing w:line="580" w:lineRule="exact"/>
        <w:ind w:firstLine="634" w:firstLineChars="200"/>
      </w:pPr>
      <w:r>
        <w:rPr>
          <w:rFonts w:hint="eastAsia"/>
          <w:b/>
          <w:bCs/>
        </w:rPr>
        <w:t>推进大气污染联防联控。</w:t>
      </w:r>
      <w:r>
        <w:rPr>
          <w:rFonts w:hint="eastAsia"/>
        </w:rPr>
        <w:t>建立统一协调、联合执法、信息共享、区域预警的大气污染联防联控机制，对重大建设项目实行环境影响评价区域会商机制，开展区域大气环境联合执法检查，构建大气污染防治立体网络。积极推进秸秆综合利用与农机配套利用、农业补贴政策挂钩，堵疏结合让秸秆禁烧有出路。</w:t>
      </w:r>
    </w:p>
    <w:p>
      <w:pPr>
        <w:pStyle w:val="4"/>
        <w:keepNext w:val="0"/>
        <w:keepLines w:val="0"/>
        <w:spacing w:before="0" w:after="0" w:line="580" w:lineRule="exact"/>
        <w:jc w:val="center"/>
        <w:rPr>
          <w:rFonts w:eastAsia="方正仿宋_GBK"/>
        </w:rPr>
      </w:pPr>
      <w:bookmarkStart w:id="143" w:name="_Toc31389"/>
      <w:r>
        <w:rPr>
          <w:rFonts w:hint="eastAsia" w:eastAsia="方正仿宋_GBK"/>
        </w:rPr>
        <w:t>第二节</w:t>
      </w:r>
      <w:r>
        <w:rPr>
          <w:rFonts w:eastAsia="方正仿宋_GBK"/>
        </w:rPr>
        <w:t xml:space="preserve">  </w:t>
      </w:r>
      <w:r>
        <w:rPr>
          <w:rFonts w:hint="eastAsia" w:eastAsia="方正仿宋_GBK"/>
        </w:rPr>
        <w:t>实施碧水工程</w:t>
      </w:r>
      <w:bookmarkEnd w:id="143"/>
    </w:p>
    <w:p>
      <w:pPr>
        <w:spacing w:line="580" w:lineRule="exact"/>
        <w:ind w:firstLine="632" w:firstLineChars="200"/>
      </w:pPr>
      <w:r>
        <w:rPr>
          <w:rFonts w:hint="eastAsia"/>
        </w:rPr>
        <w:t>坚持水陆统筹、流域兼顾，全面实施化学需要量、氨氮、总氮、总磷等多污染物协调控制，系统推进水污染防治计划和水生态保护工作，促进全市水环境质量明显提升。</w:t>
      </w:r>
    </w:p>
    <w:p>
      <w:pPr>
        <w:spacing w:line="580" w:lineRule="exact"/>
        <w:ind w:firstLine="634" w:firstLineChars="200"/>
        <w:rPr>
          <w:color w:val="000000"/>
        </w:rPr>
      </w:pPr>
      <w:r>
        <w:rPr>
          <w:rFonts w:hint="eastAsia"/>
          <w:b/>
          <w:bCs/>
        </w:rPr>
        <w:t>加强工业污水治理。</w:t>
      </w:r>
      <w:r>
        <w:rPr>
          <w:rFonts w:hint="eastAsia"/>
          <w:color w:val="000000"/>
        </w:rPr>
        <w:t>严格环境准入，在水污染防治重点控制单元的区域内，限制耗水量大、废水排放量大的新建和单纯扩大产能的项目建设。严格控制缺水地区、水污染严重地区和敏感区域高耗水、高污染行业发展。全面排查并淘汰落后产能，集中治理产业集聚区水污染，全面建成污水集中处理及重污染企业污水预处理设施，实现建成区污水管网全覆盖。实施重污染行业专项整治，加强清洁生产审核和工业水循环利用。优化工业企业空间布局，推动重污染企业退出城市建成区或停产关闭。</w:t>
      </w:r>
    </w:p>
    <w:p>
      <w:pPr>
        <w:spacing w:line="580" w:lineRule="exact"/>
        <w:ind w:firstLine="634" w:firstLineChars="200"/>
      </w:pPr>
      <w:r>
        <w:rPr>
          <w:rFonts w:hint="eastAsia"/>
          <w:b/>
          <w:bCs/>
        </w:rPr>
        <w:t>推进重点流域水污染防治。</w:t>
      </w:r>
      <w:r>
        <w:rPr>
          <w:rFonts w:hint="eastAsia"/>
        </w:rPr>
        <w:t>加强南湾湖、鲇鱼山、石山口、泼河等水库控制流域和淮河干流、浉河、灌河、竹竿河、白露河、潢河等流域水污染防治，确定重点控制区域，实施依法、分类治理，市域重点流域水质优良比例明显上升。开展城市河流清洁行动，全面消除市县城区内河黑臭水体现象。积极推进地下水污染防治，健全地下水环境监管体系，开展重点区域修复试点。</w:t>
      </w:r>
    </w:p>
    <w:p>
      <w:pPr>
        <w:spacing w:line="580" w:lineRule="exact"/>
        <w:ind w:firstLine="634" w:firstLineChars="200"/>
      </w:pPr>
      <w:r>
        <w:rPr>
          <w:rFonts w:hint="eastAsia"/>
          <w:b/>
          <w:bCs/>
        </w:rPr>
        <w:t>加强饮用水源保护。</w:t>
      </w:r>
      <w:r>
        <w:rPr>
          <w:rFonts w:hint="eastAsia"/>
        </w:rPr>
        <w:t>与生态移民、转移支付等政策结合，继续强化南湾湖水库等重点水源地生态保护建设，推进饮用水水源规范化建设，强化环境监测、预警和应急能力，实施从水源到水龙头全过程监管，到</w:t>
      </w:r>
      <w:r>
        <w:t>2020</w:t>
      </w:r>
      <w:r>
        <w:rPr>
          <w:rFonts w:hint="eastAsia"/>
        </w:rPr>
        <w:t>年中心城区及县城集中式饮用水水源水质达到或优于</w:t>
      </w:r>
      <w:r>
        <w:t>III</w:t>
      </w:r>
      <w:r>
        <w:rPr>
          <w:rFonts w:hint="eastAsia"/>
        </w:rPr>
        <w:t>类比例达</w:t>
      </w:r>
      <w:r>
        <w:t>98%</w:t>
      </w:r>
      <w:r>
        <w:rPr>
          <w:rFonts w:hint="eastAsia"/>
        </w:rPr>
        <w:t>以上。</w:t>
      </w:r>
    </w:p>
    <w:p>
      <w:pPr>
        <w:pStyle w:val="4"/>
        <w:spacing w:before="0" w:after="0" w:line="580" w:lineRule="exact"/>
        <w:jc w:val="center"/>
        <w:rPr>
          <w:rFonts w:eastAsia="方正仿宋_GBK"/>
        </w:rPr>
      </w:pPr>
      <w:bookmarkStart w:id="144" w:name="_Toc12761"/>
      <w:r>
        <w:rPr>
          <w:rFonts w:hint="eastAsia" w:eastAsia="方正仿宋_GBK"/>
        </w:rPr>
        <w:t>第三节</w:t>
      </w:r>
      <w:r>
        <w:rPr>
          <w:rFonts w:eastAsia="方正仿宋_GBK"/>
        </w:rPr>
        <w:t xml:space="preserve">  </w:t>
      </w:r>
      <w:r>
        <w:rPr>
          <w:rFonts w:hint="eastAsia" w:eastAsia="方正仿宋_GBK"/>
        </w:rPr>
        <w:t>实施乡村清洁工程</w:t>
      </w:r>
      <w:bookmarkEnd w:id="144"/>
    </w:p>
    <w:p>
      <w:pPr>
        <w:spacing w:line="580" w:lineRule="exact"/>
        <w:ind w:firstLine="632" w:firstLineChars="200"/>
        <w:rPr>
          <w:b/>
          <w:bCs/>
        </w:rPr>
      </w:pPr>
      <w:r>
        <w:rPr>
          <w:rFonts w:hint="eastAsia"/>
          <w:color w:val="000000"/>
        </w:rPr>
        <w:t>加强土壤污染治理与修复，加大农业面源污染防治和</w:t>
      </w:r>
      <w:r>
        <w:rPr>
          <w:rFonts w:hint="eastAsia"/>
        </w:rPr>
        <w:t>村庄环境治理综合整治力度，全面改善乡村环境面貌。</w:t>
      </w:r>
    </w:p>
    <w:p>
      <w:pPr>
        <w:spacing w:line="580" w:lineRule="exact"/>
        <w:ind w:firstLine="634" w:firstLineChars="200"/>
        <w:rPr>
          <w:color w:val="000000"/>
        </w:rPr>
      </w:pPr>
      <w:r>
        <w:rPr>
          <w:rFonts w:hint="eastAsia"/>
          <w:b/>
          <w:bCs/>
          <w:color w:val="000000"/>
        </w:rPr>
        <w:t>强化土壤治理监管和修复。</w:t>
      </w:r>
      <w:r>
        <w:rPr>
          <w:rFonts w:hint="eastAsia"/>
          <w:color w:val="000000"/>
        </w:rPr>
        <w:t>实行土壤污染分类分区防治，设定土壤环境质量监测国控点位，开展土壤环境质量例行监测，优先保护农用地土壤环境质量安全，切实加强建设用地质量土壤监管。加强涉重金属企业废水、废气、废渣等处理情况监督检查，严格持久性有机污染物环境监管。强化工矿用地土壤环境监管。深入开展土壤污染治理与修复试点，建立土壤污染治理与修复技术体系。加强重点区域重金属环境综合整治。</w:t>
      </w:r>
    </w:p>
    <w:p>
      <w:pPr>
        <w:spacing w:line="580" w:lineRule="exact"/>
        <w:ind w:firstLine="634" w:firstLineChars="200"/>
      </w:pPr>
      <w:r>
        <w:rPr>
          <w:rFonts w:hint="eastAsia"/>
          <w:b/>
          <w:bCs/>
        </w:rPr>
        <w:t>加强农村生活污染源治理。</w:t>
      </w:r>
      <w:r>
        <w:rPr>
          <w:rFonts w:hint="eastAsia"/>
        </w:rPr>
        <w:t>实施农村饮水安全巩固提升和生态净化工程，开展河道清淤疏浚，推进有条件的地区实施无害化户厕和农村生活污水处理设施一体化建设。加快农村环境综合整治，加强农村污水和垃圾处理等环保设施建设，在不适合集中处理的地方，采取多种模式积极推进农村分散式污水处理建设。</w:t>
      </w:r>
    </w:p>
    <w:p>
      <w:pPr>
        <w:spacing w:line="580" w:lineRule="exact"/>
        <w:ind w:firstLine="634" w:firstLineChars="200"/>
      </w:pPr>
      <w:r>
        <w:rPr>
          <w:rFonts w:hint="eastAsia"/>
          <w:b/>
          <w:bCs/>
        </w:rPr>
        <w:t>加强农业面源污染防治。</w:t>
      </w:r>
      <w:r>
        <w:rPr>
          <w:rFonts w:hint="eastAsia"/>
        </w:rPr>
        <w:t>大力发展生态循环农业，开展农作物病虫害绿色防控和统防统治，推广应用新型肥料和高效低毒低残留农药，实现农作物化肥农药使用总量零增长。加强敏感区域和大中型灌区生态沟渠、污水净化塘、地表径流集蓄池等设施建设，净化农田排水及地表径流。</w:t>
      </w:r>
      <w:r>
        <w:rPr>
          <w:rFonts w:hint="eastAsia"/>
          <w:color w:val="000000"/>
        </w:rPr>
        <w:t>科学划定调整畜禽养殖禁养区、限养区范围，依法关闭和搬迁禁养区内的畜禽养殖场（小区）和养殖专业户，推动新改扩建规模化畜禽养殖场实现雨污分流、粪便污水资源化利用，推进病死畜禽无害化处理与养殖业保险联动机制建设。规范畜禽屠宰管理，加强人畜共患传染病防治。提高农作物秸秆综合利用率，采取原料化</w:t>
      </w:r>
      <w:r>
        <w:rPr>
          <w:rFonts w:hint="eastAsia"/>
        </w:rPr>
        <w:t>、饲料化、基料化、肥料化、能源化的“五化”方法解决秸秆垃圾问题。</w:t>
      </w:r>
    </w:p>
    <w:p>
      <w:pPr>
        <w:pStyle w:val="4"/>
        <w:spacing w:before="0" w:after="0" w:line="580" w:lineRule="exact"/>
        <w:jc w:val="center"/>
        <w:rPr>
          <w:rFonts w:eastAsia="方正仿宋_GBK"/>
        </w:rPr>
      </w:pPr>
      <w:bookmarkStart w:id="145" w:name="_Toc8919"/>
      <w:r>
        <w:rPr>
          <w:rFonts w:hint="eastAsia" w:eastAsia="方正仿宋_GBK"/>
        </w:rPr>
        <w:t>第四节</w:t>
      </w:r>
      <w:r>
        <w:rPr>
          <w:rFonts w:eastAsia="方正仿宋_GBK"/>
        </w:rPr>
        <w:t xml:space="preserve">  </w:t>
      </w:r>
      <w:r>
        <w:rPr>
          <w:rFonts w:hint="eastAsia" w:eastAsia="方正仿宋_GBK"/>
        </w:rPr>
        <w:t>强化环境风险防控</w:t>
      </w:r>
      <w:bookmarkEnd w:id="145"/>
    </w:p>
    <w:p>
      <w:pPr>
        <w:spacing w:line="580" w:lineRule="exact"/>
        <w:ind w:firstLine="632" w:firstLineChars="200"/>
      </w:pPr>
      <w:r>
        <w:rPr>
          <w:rFonts w:hint="eastAsia"/>
        </w:rPr>
        <w:t>坚持预防为先，着力消除污染隐患，妥善处置环境突发事件，维护生态环境安全。建立完备的环境监测预警体系和环境监督执法体系，健全环境风险、气象、地震、地质、灾害评估和环境隐患排查机制，加强对重大环境风险源的动态监测和风险预警及控制防御能力。加强人工影响天气工程建设，提高抗旱和保护生态能力。完善环境应急预案和防灾减灾体系，推行重金属、化学品、危险废物、持久性有机物、核辐射等全过程环境风险应急管理，有效管控环境风险。</w:t>
      </w:r>
    </w:p>
    <w:tbl>
      <w:tblPr>
        <w:tblStyle w:val="7"/>
        <w:tblW w:w="8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3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小标宋_GBK"/>
                <w:sz w:val="28"/>
                <w:szCs w:val="24"/>
              </w:rPr>
            </w:pPr>
            <w:r>
              <w:rPr>
                <w:rFonts w:hint="eastAsia" w:eastAsia="方正小标宋_GBK"/>
                <w:sz w:val="28"/>
                <w:szCs w:val="24"/>
              </w:rPr>
              <w:t>专栏</w:t>
            </w:r>
            <w:r>
              <w:rPr>
                <w:rFonts w:eastAsia="方正小标宋_GBK"/>
                <w:sz w:val="28"/>
                <w:szCs w:val="24"/>
              </w:rPr>
              <w:t>21</w:t>
            </w:r>
            <w:r>
              <w:rPr>
                <w:rFonts w:hint="eastAsia" w:eastAsia="方正小标宋_GBK"/>
                <w:sz w:val="28"/>
                <w:szCs w:val="24"/>
              </w:rPr>
              <w:t>：环境保护重点工程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304"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74" w:firstLineChars="200"/>
              <w:rPr>
                <w:kern w:val="0"/>
                <w:sz w:val="24"/>
                <w:szCs w:val="24"/>
              </w:rPr>
            </w:pPr>
            <w:r>
              <w:rPr>
                <w:rFonts w:hint="eastAsia"/>
                <w:b/>
                <w:bCs/>
                <w:kern w:val="0"/>
                <w:sz w:val="24"/>
                <w:szCs w:val="24"/>
              </w:rPr>
              <w:t>大气污染治理。</w:t>
            </w:r>
            <w:r>
              <w:rPr>
                <w:rFonts w:hint="eastAsia"/>
                <w:kern w:val="0"/>
                <w:sz w:val="24"/>
                <w:szCs w:val="24"/>
              </w:rPr>
              <w:t>开展火电行业超低排放和节能改造。加快“煤改气”、“煤改电”工程建设，加强重点领域挥发性有机物治理设施建设，完成石化企业挥发性有机物排放达标整治。全面完成城区餐饮服务经营场所高效油烟净化设施安装。</w:t>
            </w:r>
          </w:p>
          <w:p>
            <w:pPr>
              <w:widowControl/>
              <w:spacing w:line="400" w:lineRule="exact"/>
              <w:ind w:firstLine="474" w:firstLineChars="200"/>
              <w:rPr>
                <w:kern w:val="0"/>
                <w:sz w:val="24"/>
                <w:szCs w:val="24"/>
              </w:rPr>
            </w:pPr>
            <w:r>
              <w:rPr>
                <w:rFonts w:hint="eastAsia"/>
                <w:b/>
                <w:bCs/>
                <w:kern w:val="0"/>
                <w:sz w:val="24"/>
                <w:szCs w:val="24"/>
              </w:rPr>
              <w:t>水污染治理。</w:t>
            </w:r>
            <w:r>
              <w:rPr>
                <w:rFonts w:hint="eastAsia"/>
                <w:kern w:val="0"/>
                <w:sz w:val="24"/>
                <w:szCs w:val="24"/>
              </w:rPr>
              <w:t>加强氮肥、农副食品加工、农药、电镀等行业专项治理，开展重点河流水污染综合整治。</w:t>
            </w:r>
          </w:p>
          <w:p>
            <w:pPr>
              <w:widowControl/>
              <w:spacing w:line="400" w:lineRule="exact"/>
              <w:ind w:firstLine="474" w:firstLineChars="200"/>
              <w:rPr>
                <w:kern w:val="0"/>
                <w:sz w:val="24"/>
                <w:szCs w:val="24"/>
              </w:rPr>
            </w:pPr>
            <w:r>
              <w:rPr>
                <w:rFonts w:hint="eastAsia"/>
                <w:b/>
                <w:bCs/>
                <w:kern w:val="0"/>
                <w:sz w:val="24"/>
                <w:szCs w:val="24"/>
              </w:rPr>
              <w:t>乡村清洁。</w:t>
            </w:r>
            <w:r>
              <w:rPr>
                <w:rFonts w:hint="eastAsia"/>
                <w:kern w:val="0"/>
                <w:sz w:val="24"/>
                <w:szCs w:val="24"/>
              </w:rPr>
              <w:t>重点开展村庄环境综合整治，生态文明村创建，省级生态乡镇创建等。实施化肥农药使用量零增长行动，测土配方施肥技术推广覆盖率达到</w:t>
            </w:r>
            <w:r>
              <w:rPr>
                <w:kern w:val="0"/>
                <w:sz w:val="24"/>
                <w:szCs w:val="24"/>
              </w:rPr>
              <w:t>90%</w:t>
            </w:r>
            <w:r>
              <w:rPr>
                <w:rFonts w:hint="eastAsia"/>
                <w:kern w:val="0"/>
                <w:sz w:val="24"/>
                <w:szCs w:val="24"/>
              </w:rPr>
              <w:t>以上，化肥利用率提高到</w:t>
            </w:r>
            <w:r>
              <w:rPr>
                <w:kern w:val="0"/>
                <w:sz w:val="24"/>
                <w:szCs w:val="24"/>
              </w:rPr>
              <w:t>40%</w:t>
            </w:r>
            <w:r>
              <w:rPr>
                <w:rFonts w:hint="eastAsia"/>
                <w:kern w:val="0"/>
                <w:sz w:val="24"/>
                <w:szCs w:val="24"/>
              </w:rPr>
              <w:t>以上，农作物病虫害统防统治覆盖率达到</w:t>
            </w:r>
            <w:r>
              <w:rPr>
                <w:kern w:val="0"/>
                <w:sz w:val="24"/>
                <w:szCs w:val="24"/>
              </w:rPr>
              <w:t>40%</w:t>
            </w:r>
            <w:r>
              <w:rPr>
                <w:rFonts w:hint="eastAsia"/>
                <w:kern w:val="0"/>
                <w:sz w:val="24"/>
                <w:szCs w:val="24"/>
              </w:rPr>
              <w:t>以上。</w:t>
            </w:r>
          </w:p>
          <w:p>
            <w:pPr>
              <w:widowControl/>
              <w:spacing w:line="400" w:lineRule="exact"/>
              <w:ind w:firstLine="474" w:firstLineChars="200"/>
              <w:rPr>
                <w:sz w:val="24"/>
                <w:szCs w:val="24"/>
              </w:rPr>
            </w:pPr>
            <w:r>
              <w:rPr>
                <w:rFonts w:hint="eastAsia"/>
                <w:b/>
                <w:bCs/>
                <w:kern w:val="0"/>
                <w:sz w:val="24"/>
                <w:szCs w:val="24"/>
              </w:rPr>
              <w:t>环境风险防范。</w:t>
            </w:r>
            <w:r>
              <w:rPr>
                <w:rFonts w:hint="eastAsia"/>
                <w:kern w:val="0"/>
                <w:sz w:val="24"/>
                <w:szCs w:val="24"/>
              </w:rPr>
              <w:t>重点加强持久性有机污染物（</w:t>
            </w:r>
            <w:r>
              <w:rPr>
                <w:kern w:val="0"/>
                <w:sz w:val="24"/>
                <w:szCs w:val="24"/>
              </w:rPr>
              <w:t>POPs</w:t>
            </w:r>
            <w:r>
              <w:rPr>
                <w:rFonts w:hint="eastAsia"/>
                <w:kern w:val="0"/>
                <w:sz w:val="24"/>
                <w:szCs w:val="24"/>
              </w:rPr>
              <w:t>）治理、多氯联苯环境无害化管理和处置、二恶英类削减控制、核与辐射安全监管监测、危险化学品风险管理、重金属污染防治、环境监管能力建设。</w:t>
            </w:r>
          </w:p>
        </w:tc>
      </w:tr>
    </w:tbl>
    <w:p>
      <w:pPr>
        <w:pStyle w:val="3"/>
        <w:spacing w:before="0" w:after="0" w:line="580" w:lineRule="exact"/>
        <w:jc w:val="center"/>
        <w:rPr>
          <w:rFonts w:ascii="Times New Roman" w:hAnsi="Times New Roman" w:eastAsia="方正楷体_GBK" w:cs="Times New Roman"/>
        </w:rPr>
      </w:pPr>
      <w:bookmarkStart w:id="146" w:name="_Toc15418"/>
      <w:r>
        <w:rPr>
          <w:rFonts w:hint="eastAsia" w:ascii="Times New Roman" w:hAnsi="Times New Roman" w:eastAsia="方正楷体_GBK" w:cs="Times New Roman"/>
        </w:rPr>
        <w:t>第十四章</w:t>
      </w:r>
      <w:r>
        <w:rPr>
          <w:rFonts w:ascii="Times New Roman" w:hAnsi="Times New Roman" w:eastAsia="方正楷体_GBK" w:cs="Times New Roman"/>
        </w:rPr>
        <w:t xml:space="preserve">  </w:t>
      </w:r>
      <w:r>
        <w:rPr>
          <w:rFonts w:hint="eastAsia" w:ascii="Times New Roman" w:hAnsi="Times New Roman" w:eastAsia="方正楷体_GBK" w:cs="Times New Roman"/>
        </w:rPr>
        <w:t>促进资源节约循环利用</w:t>
      </w:r>
      <w:bookmarkEnd w:id="146"/>
    </w:p>
    <w:p>
      <w:pPr>
        <w:spacing w:line="580" w:lineRule="exact"/>
        <w:ind w:firstLine="632" w:firstLineChars="200"/>
      </w:pPr>
      <w:r>
        <w:rPr>
          <w:rFonts w:hint="eastAsia"/>
        </w:rPr>
        <w:t>加强资源开发利用全过程管理，大幅度降低能源、水、土地和矿产资源消耗强度，积极发展循环经济和清洁生产，加快建立资源循环利用体系，建设资源节约型社会。</w:t>
      </w:r>
    </w:p>
    <w:p>
      <w:pPr>
        <w:pStyle w:val="4"/>
        <w:spacing w:before="0" w:after="0" w:line="580" w:lineRule="exact"/>
        <w:jc w:val="center"/>
        <w:rPr>
          <w:rFonts w:eastAsia="方正仿宋_GBK"/>
        </w:rPr>
      </w:pPr>
      <w:bookmarkStart w:id="147" w:name="_Toc22957"/>
      <w:r>
        <w:rPr>
          <w:rFonts w:hint="eastAsia" w:eastAsia="方正仿宋_GBK"/>
        </w:rPr>
        <w:t>第一节</w:t>
      </w:r>
      <w:r>
        <w:rPr>
          <w:rFonts w:eastAsia="方正仿宋_GBK"/>
        </w:rPr>
        <w:t xml:space="preserve">  </w:t>
      </w:r>
      <w:r>
        <w:rPr>
          <w:rFonts w:hint="eastAsia" w:eastAsia="方正仿宋_GBK"/>
        </w:rPr>
        <w:t>提高资源利用效率</w:t>
      </w:r>
      <w:bookmarkEnd w:id="147"/>
    </w:p>
    <w:p>
      <w:pPr>
        <w:spacing w:line="580" w:lineRule="exact"/>
        <w:ind w:firstLine="632" w:firstLineChars="200"/>
      </w:pPr>
      <w:r>
        <w:rPr>
          <w:rFonts w:hint="eastAsia"/>
        </w:rPr>
        <w:t>强化能源和水资源消耗、建设用地等总量和强度双控，实施全民节能和重点领域节能减排降碳行动计划，提高节能、节水、节地、节材、节矿标准，促进生产、流通、消费过程的减量化、再利用、资源化。</w:t>
      </w:r>
    </w:p>
    <w:p>
      <w:pPr>
        <w:spacing w:line="580" w:lineRule="exact"/>
        <w:ind w:firstLine="634" w:firstLineChars="200"/>
        <w:rPr>
          <w:color w:val="000000"/>
        </w:rPr>
      </w:pPr>
      <w:r>
        <w:rPr>
          <w:rFonts w:hint="eastAsia"/>
          <w:b/>
          <w:bCs/>
        </w:rPr>
        <w:t>全面推动能源节约。</w:t>
      </w:r>
      <w:r>
        <w:rPr>
          <w:rFonts w:hint="eastAsia"/>
          <w:color w:val="000000"/>
        </w:rPr>
        <w:t>实施全民节能行动计划，全面推进工业、建筑、交通运输、公共机构等领域节能，实施锅炉、电机升级改造等重点工程。加强节能技术产品应用推广。</w:t>
      </w:r>
      <w:r>
        <w:rPr>
          <w:rFonts w:hint="eastAsia"/>
          <w:color w:val="000000"/>
          <w:lang w:val="zh-CN"/>
        </w:rPr>
        <w:t>实施绿色建筑行动，推广绿色建材。推动能源管理体系和能耗在线监测系统建设，强化节能评估审查，开展用能节能监察、审计。</w:t>
      </w:r>
      <w:r>
        <w:rPr>
          <w:rFonts w:hint="eastAsia"/>
          <w:color w:val="000000"/>
        </w:rPr>
        <w:t>实行能源消费总量预算管理制度，能源消费总量控制在国家下达指标以内。</w:t>
      </w:r>
    </w:p>
    <w:p>
      <w:pPr>
        <w:widowControl/>
        <w:spacing w:line="580" w:lineRule="exact"/>
        <w:ind w:firstLine="634" w:firstLineChars="200"/>
        <w:rPr>
          <w:color w:val="000000"/>
        </w:rPr>
      </w:pPr>
      <w:r>
        <w:rPr>
          <w:rFonts w:hint="eastAsia"/>
          <w:b/>
          <w:bCs/>
        </w:rPr>
        <w:t>推进节水型社会建设。</w:t>
      </w:r>
      <w:r>
        <w:rPr>
          <w:rFonts w:hint="eastAsia"/>
          <w:color w:val="000000"/>
        </w:rPr>
        <w:t>实行最严格的水资源管理制度，强化水资源、水生态、水环境承载能力刚性约束。制定</w:t>
      </w:r>
      <w:r>
        <w:rPr>
          <w:rFonts w:hint="eastAsia"/>
        </w:rPr>
        <w:t>调整产业规划以及优化产业结构和布局、编制城市总体规划、各类开发区、产业集聚区、城市新区、重大项目布局，要与水资源规划相衔接，充分考虑水资源总体承载能力，加强水资源论证，严格执行建设项目水资源论证制度。</w:t>
      </w:r>
      <w:r>
        <w:rPr>
          <w:rFonts w:hint="eastAsia"/>
          <w:color w:val="000000"/>
        </w:rPr>
        <w:t>实施全民节水行动计划，加快农业、工业、城镇供水管网节水改造，加强重点用水单位监管，推广节水技术和高效节水产品。实施雨洪资源利用、再生水利用工程。</w:t>
      </w:r>
    </w:p>
    <w:p>
      <w:pPr>
        <w:widowControl/>
        <w:spacing w:line="580" w:lineRule="exact"/>
        <w:ind w:firstLine="634" w:firstLineChars="200"/>
      </w:pPr>
      <w:r>
        <w:rPr>
          <w:rFonts w:hint="eastAsia"/>
          <w:b/>
          <w:bCs/>
        </w:rPr>
        <w:t>强化土地节约集约利用。</w:t>
      </w:r>
      <w:r>
        <w:rPr>
          <w:rFonts w:hint="eastAsia"/>
        </w:rPr>
        <w:t>严格土地用途管制，推进建设用地多功能开发、地下地上立体开发综合利用，推广应用节地技术和模式，降低工业用地比例，推进城镇低效用地再开发和工矿废弃地复垦，严格控制农村集体建设用地规模。加强土地管理，促进土地合理高效利用。积极探索适合的农村宅基地有偿退出机制，清理处置闲置建设用地。运用城乡建设用地增减挂钩政策，优化城乡建设用地和农用地布局。实行集约节约用地制度，健全土地整治机制，构建集约节约用地机制。</w:t>
      </w:r>
    </w:p>
    <w:p>
      <w:pPr>
        <w:spacing w:line="580" w:lineRule="exact"/>
        <w:ind w:firstLine="634" w:firstLineChars="200"/>
      </w:pPr>
      <w:r>
        <w:rPr>
          <w:rFonts w:hint="eastAsia"/>
          <w:b/>
          <w:bCs/>
        </w:rPr>
        <w:t>加强矿产资源节约和管理。</w:t>
      </w:r>
      <w:r>
        <w:rPr>
          <w:rFonts w:hint="eastAsia"/>
          <w:color w:val="000000"/>
        </w:rPr>
        <w:t>强化矿产</w:t>
      </w:r>
      <w:r>
        <w:rPr>
          <w:rFonts w:hint="eastAsia"/>
        </w:rPr>
        <w:t>资源规划管控，大力发展绿色矿山和绿色矿业，实施矿产资源节约与综合利用先进技术推广示范工程，提高矿产资源开采回采率、选矿回收率和综合利用率。开展地质找矿突破行动。推进上天梯非金属矿珍珠岩、膨润土等矿产资源绿色开采。深入推进矿产资源整合和开发秩序整顿，完善资源有偿使用制度。培育壮大替代产业，促进矿产资源可持续利用。</w:t>
      </w:r>
    </w:p>
    <w:p>
      <w:pPr>
        <w:pStyle w:val="4"/>
        <w:spacing w:before="0" w:after="0" w:line="580" w:lineRule="exact"/>
        <w:jc w:val="center"/>
        <w:rPr>
          <w:rFonts w:eastAsia="方正仿宋_GBK"/>
        </w:rPr>
      </w:pPr>
      <w:bookmarkStart w:id="148" w:name="_Toc30830"/>
      <w:r>
        <w:rPr>
          <w:rFonts w:hint="eastAsia" w:eastAsia="方正仿宋_GBK"/>
        </w:rPr>
        <w:t>第二节</w:t>
      </w:r>
      <w:r>
        <w:rPr>
          <w:rFonts w:eastAsia="方正仿宋_GBK"/>
        </w:rPr>
        <w:t xml:space="preserve">  </w:t>
      </w:r>
      <w:r>
        <w:rPr>
          <w:rFonts w:hint="eastAsia" w:eastAsia="方正仿宋_GBK"/>
        </w:rPr>
        <w:t>大力发展循环经济</w:t>
      </w:r>
      <w:bookmarkEnd w:id="148"/>
    </w:p>
    <w:p>
      <w:pPr>
        <w:spacing w:line="580" w:lineRule="exact"/>
        <w:ind w:firstLine="632" w:firstLineChars="200"/>
      </w:pPr>
      <w:r>
        <w:rPr>
          <w:rFonts w:hint="eastAsia"/>
        </w:rPr>
        <w:t>实施循环发展引领计划，开展主导产业核心产品生态设计。推行绿色制造和清洁生产，推进生产系统和生活系统循环链接，推行企业循环式生产、产业循环式组合、园区循环式改造，实现近零排放。减少单位产出物质能耗，加快废弃物资源化利用，构建覆盖全社会的资源循环利用体系。加强资源综合利用和再生利用，加强生活垃圾分类回收与再生资源回收的衔接，构建以城市社区和乡村站点回收为基础、集散市场为枢纽、分类加工利用为目的的再生资源循环利用体系。开发利用“城市矿山”</w:t>
      </w:r>
      <w:r>
        <w:rPr>
          <w:rStyle w:val="8"/>
        </w:rPr>
        <w:footnoteReference w:id="23"/>
      </w:r>
      <w:r>
        <w:rPr>
          <w:rFonts w:hint="eastAsia"/>
        </w:rPr>
        <w:t>，开展汽车零部件、机电产品等再制造试点，推进城镇生活、餐厨、建筑等垃圾的集中化处置和资源化利用，建设静脉产业</w:t>
      </w:r>
      <w:r>
        <w:rPr>
          <w:rStyle w:val="8"/>
        </w:rPr>
        <w:footnoteReference w:id="24"/>
      </w:r>
      <w:r>
        <w:rPr>
          <w:rFonts w:hint="eastAsia"/>
        </w:rPr>
        <w:t>示范园区，支持商城等县区搞好试点工作。推动水泥、钢铁等重点行业实施废物协同处置，加强大宗工业固体废弃物综合利用，加强资源再生产业区域合作，建设资源再生利用产业基地和产业园区。</w:t>
      </w:r>
      <w:r>
        <w:rPr>
          <w:rFonts w:hint="eastAsia"/>
          <w:color w:val="000000"/>
        </w:rPr>
        <w:t>坚持“以用促禁”推进农作物秸秆资源化利用，建设一批农业废弃物绿色高效循环利用基地。</w:t>
      </w:r>
      <w:r>
        <w:rPr>
          <w:rFonts w:hint="eastAsia"/>
        </w:rPr>
        <w:t>推动快递物流、住宿餐饮等服务业循环资源化利用。</w:t>
      </w:r>
    </w:p>
    <w:tbl>
      <w:tblPr>
        <w:tblStyle w:val="7"/>
        <w:tblW w:w="8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方正小标宋_GBK"/>
                <w:sz w:val="28"/>
                <w:szCs w:val="24"/>
              </w:rPr>
            </w:pPr>
            <w:r>
              <w:rPr>
                <w:rFonts w:hint="eastAsia" w:eastAsia="方正小标宋_GBK"/>
                <w:sz w:val="28"/>
                <w:szCs w:val="24"/>
              </w:rPr>
              <w:t>专栏</w:t>
            </w:r>
            <w:r>
              <w:rPr>
                <w:rFonts w:eastAsia="方正小标宋_GBK"/>
                <w:sz w:val="28"/>
                <w:szCs w:val="24"/>
              </w:rPr>
              <w:t>22</w:t>
            </w:r>
            <w:r>
              <w:rPr>
                <w:rFonts w:hint="eastAsia" w:eastAsia="方正小标宋_GBK"/>
                <w:sz w:val="28"/>
                <w:szCs w:val="24"/>
              </w:rPr>
              <w:t>：节能和循环经济重点工程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304"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节能降碳综合改造提升工程。</w:t>
            </w:r>
            <w:r>
              <w:rPr>
                <w:rFonts w:hint="eastAsia"/>
                <w:sz w:val="24"/>
                <w:szCs w:val="24"/>
              </w:rPr>
              <w:t>推动高效节能技术产品应用示范、绿色建筑、公共机构节能、低碳交通等项目建设。到</w:t>
            </w:r>
            <w:r>
              <w:rPr>
                <w:sz w:val="24"/>
                <w:szCs w:val="24"/>
              </w:rPr>
              <w:t>2020</w:t>
            </w:r>
            <w:r>
              <w:rPr>
                <w:rFonts w:hint="eastAsia"/>
                <w:sz w:val="24"/>
                <w:szCs w:val="24"/>
              </w:rPr>
              <w:t>年，主要耗能设备能效指标达到省内先进水平，全市</w:t>
            </w:r>
            <w:r>
              <w:rPr>
                <w:sz w:val="24"/>
                <w:szCs w:val="24"/>
              </w:rPr>
              <w:t>50%</w:t>
            </w:r>
            <w:r>
              <w:rPr>
                <w:rFonts w:hint="eastAsia"/>
                <w:sz w:val="24"/>
                <w:szCs w:val="24"/>
              </w:rPr>
              <w:t>的城镇新建建筑按二星及以上绿色建筑标准设计建造，完成县级以上公共机构建筑及主要耗能设备节能改造。</w:t>
            </w:r>
          </w:p>
          <w:p>
            <w:pPr>
              <w:spacing w:line="400" w:lineRule="exact"/>
              <w:ind w:firstLine="474" w:firstLineChars="200"/>
              <w:rPr>
                <w:sz w:val="24"/>
                <w:szCs w:val="24"/>
              </w:rPr>
            </w:pPr>
            <w:r>
              <w:rPr>
                <w:rFonts w:hint="eastAsia"/>
                <w:b/>
                <w:bCs/>
                <w:sz w:val="24"/>
                <w:szCs w:val="24"/>
              </w:rPr>
              <w:t>燃煤锅炉改造提升工程。</w:t>
            </w:r>
            <w:r>
              <w:rPr>
                <w:rFonts w:hint="eastAsia"/>
                <w:sz w:val="24"/>
                <w:szCs w:val="24"/>
              </w:rPr>
              <w:t>开展锅炉燃料结构优化，低氮燃烧改造、标杆锅炉房泵建设和烟气超清洁排放改造等，完成</w:t>
            </w:r>
            <w:r>
              <w:rPr>
                <w:sz w:val="24"/>
                <w:szCs w:val="24"/>
              </w:rPr>
              <w:t>10</w:t>
            </w:r>
            <w:r>
              <w:rPr>
                <w:rFonts w:hint="eastAsia"/>
                <w:sz w:val="24"/>
                <w:szCs w:val="24"/>
              </w:rPr>
              <w:t>吨</w:t>
            </w:r>
            <w:r>
              <w:rPr>
                <w:sz w:val="24"/>
                <w:szCs w:val="24"/>
              </w:rPr>
              <w:t>/</w:t>
            </w:r>
            <w:r>
              <w:rPr>
                <w:rFonts w:hint="eastAsia"/>
                <w:sz w:val="24"/>
                <w:szCs w:val="24"/>
              </w:rPr>
              <w:t>时及以上的燃煤锅炉的超低排放达标改造，全面淘汰</w:t>
            </w:r>
            <w:r>
              <w:rPr>
                <w:sz w:val="24"/>
                <w:szCs w:val="24"/>
              </w:rPr>
              <w:t>10</w:t>
            </w:r>
            <w:r>
              <w:rPr>
                <w:rFonts w:hint="eastAsia"/>
                <w:sz w:val="24"/>
                <w:szCs w:val="24"/>
              </w:rPr>
              <w:t>吨</w:t>
            </w:r>
            <w:r>
              <w:rPr>
                <w:sz w:val="24"/>
                <w:szCs w:val="24"/>
              </w:rPr>
              <w:t>/</w:t>
            </w:r>
            <w:r>
              <w:rPr>
                <w:rFonts w:hint="eastAsia"/>
                <w:sz w:val="24"/>
                <w:szCs w:val="24"/>
              </w:rPr>
              <w:t>时及以下不达标的燃煤锅炉，完成能效不达标的在用锅炉节能改造。</w:t>
            </w:r>
          </w:p>
          <w:p>
            <w:pPr>
              <w:spacing w:line="400" w:lineRule="exact"/>
              <w:ind w:firstLine="474" w:firstLineChars="200"/>
              <w:rPr>
                <w:b/>
                <w:bCs/>
                <w:sz w:val="24"/>
                <w:szCs w:val="24"/>
              </w:rPr>
            </w:pPr>
            <w:r>
              <w:rPr>
                <w:rFonts w:hint="eastAsia"/>
                <w:b/>
                <w:bCs/>
                <w:sz w:val="24"/>
                <w:szCs w:val="24"/>
              </w:rPr>
              <w:t>园区循环化改造示范工程</w:t>
            </w:r>
            <w:r>
              <w:rPr>
                <w:rFonts w:hint="eastAsia"/>
                <w:sz w:val="24"/>
                <w:szCs w:val="24"/>
              </w:rPr>
              <w:t>。实施一批产业链和价值链提升、废弃物资源化利用、能源梯级利用、中水循环利用示范项目，支持有条件的高新区、开发区和产业集聚区按规定完成产业园区循环改造。支持信阳上天梯产业集聚区建设矿产资源综合利用示范基地。</w:t>
            </w:r>
          </w:p>
          <w:p>
            <w:pPr>
              <w:spacing w:line="400" w:lineRule="exact"/>
              <w:ind w:firstLine="474" w:firstLineChars="200"/>
              <w:rPr>
                <w:sz w:val="24"/>
                <w:szCs w:val="24"/>
              </w:rPr>
            </w:pPr>
            <w:r>
              <w:rPr>
                <w:rFonts w:hint="eastAsia"/>
                <w:b/>
                <w:bCs/>
                <w:sz w:val="24"/>
                <w:szCs w:val="24"/>
              </w:rPr>
              <w:t>静脉产业园区建设示范工程。</w:t>
            </w:r>
            <w:r>
              <w:rPr>
                <w:rFonts w:hint="eastAsia"/>
                <w:sz w:val="24"/>
                <w:szCs w:val="24"/>
              </w:rPr>
              <w:t>依托现有再生资源集散地和城镇垃圾处理设施，综合开发利用“城市矿山”，建设</w:t>
            </w:r>
            <w:r>
              <w:rPr>
                <w:sz w:val="24"/>
                <w:szCs w:val="24"/>
              </w:rPr>
              <w:t>1-2</w:t>
            </w:r>
            <w:r>
              <w:rPr>
                <w:rFonts w:hint="eastAsia"/>
                <w:sz w:val="24"/>
                <w:szCs w:val="24"/>
              </w:rPr>
              <w:t>个废旧电子电器、废旧办公设备、废金属、废塑料等处理基地和</w:t>
            </w:r>
            <w:r>
              <w:rPr>
                <w:sz w:val="24"/>
                <w:szCs w:val="24"/>
              </w:rPr>
              <w:t>1-2</w:t>
            </w:r>
            <w:r>
              <w:rPr>
                <w:rFonts w:hint="eastAsia"/>
                <w:sz w:val="24"/>
                <w:szCs w:val="24"/>
              </w:rPr>
              <w:t>个报废汽车、大型机电设备回收拆解中心，</w:t>
            </w:r>
            <w:r>
              <w:rPr>
                <w:sz w:val="24"/>
                <w:szCs w:val="24"/>
              </w:rPr>
              <w:t>1-2</w:t>
            </w:r>
            <w:r>
              <w:rPr>
                <w:rFonts w:hint="eastAsia"/>
                <w:sz w:val="24"/>
                <w:szCs w:val="24"/>
              </w:rPr>
              <w:t>个建筑垃圾、餐厨垃圾资源化利用基地。到</w:t>
            </w:r>
            <w:r>
              <w:rPr>
                <w:sz w:val="24"/>
                <w:szCs w:val="24"/>
              </w:rPr>
              <w:t>2020</w:t>
            </w:r>
            <w:r>
              <w:rPr>
                <w:rFonts w:hint="eastAsia"/>
                <w:sz w:val="24"/>
                <w:szCs w:val="24"/>
              </w:rPr>
              <w:t>年，主要品种再生资源回收率超过</w:t>
            </w:r>
            <w:r>
              <w:rPr>
                <w:sz w:val="24"/>
                <w:szCs w:val="24"/>
              </w:rPr>
              <w:t>75%</w:t>
            </w:r>
            <w:r>
              <w:rPr>
                <w:rFonts w:hint="eastAsia"/>
                <w:sz w:val="24"/>
                <w:szCs w:val="24"/>
              </w:rPr>
              <w:t>，城市建筑垃圾和餐厨垃圾资源化利用率分别达</w:t>
            </w:r>
            <w:r>
              <w:rPr>
                <w:sz w:val="24"/>
                <w:szCs w:val="24"/>
              </w:rPr>
              <w:t>70%</w:t>
            </w:r>
            <w:r>
              <w:rPr>
                <w:rFonts w:hint="eastAsia"/>
                <w:sz w:val="24"/>
                <w:szCs w:val="24"/>
              </w:rPr>
              <w:t>、</w:t>
            </w:r>
            <w:r>
              <w:rPr>
                <w:sz w:val="24"/>
                <w:szCs w:val="24"/>
              </w:rPr>
              <w:t>60%</w:t>
            </w:r>
            <w:r>
              <w:rPr>
                <w:rFonts w:hint="eastAsia"/>
                <w:sz w:val="24"/>
                <w:szCs w:val="24"/>
              </w:rPr>
              <w:t>以上。</w:t>
            </w:r>
          </w:p>
          <w:p>
            <w:pPr>
              <w:spacing w:line="400" w:lineRule="exact"/>
              <w:ind w:firstLine="474" w:firstLineChars="200"/>
              <w:rPr>
                <w:sz w:val="24"/>
                <w:szCs w:val="24"/>
              </w:rPr>
            </w:pPr>
            <w:r>
              <w:rPr>
                <w:rFonts w:hint="eastAsia"/>
                <w:b/>
                <w:bCs/>
                <w:sz w:val="24"/>
                <w:szCs w:val="24"/>
              </w:rPr>
              <w:t>产业废弃物综合利用示范工程。</w:t>
            </w:r>
            <w:r>
              <w:rPr>
                <w:rFonts w:hint="eastAsia"/>
                <w:sz w:val="24"/>
                <w:szCs w:val="24"/>
              </w:rPr>
              <w:t>鼓励有条件企业生产过程协同处置工业固体废弃物试点示范，实施大宗固体废弃物综合利用项目。到</w:t>
            </w:r>
            <w:r>
              <w:rPr>
                <w:sz w:val="24"/>
                <w:szCs w:val="24"/>
              </w:rPr>
              <w:t>2020</w:t>
            </w:r>
            <w:r>
              <w:rPr>
                <w:rFonts w:hint="eastAsia"/>
                <w:sz w:val="24"/>
                <w:szCs w:val="24"/>
              </w:rPr>
              <w:t>年主要工业固体废物综合利用率达到</w:t>
            </w:r>
            <w:r>
              <w:rPr>
                <w:sz w:val="24"/>
                <w:szCs w:val="24"/>
              </w:rPr>
              <w:t>80%</w:t>
            </w:r>
            <w:r>
              <w:rPr>
                <w:rFonts w:hint="eastAsia"/>
                <w:sz w:val="24"/>
                <w:szCs w:val="24"/>
              </w:rPr>
              <w:t>。</w:t>
            </w:r>
          </w:p>
          <w:p>
            <w:pPr>
              <w:spacing w:line="400" w:lineRule="exact"/>
              <w:ind w:firstLine="474" w:firstLineChars="200"/>
              <w:rPr>
                <w:sz w:val="24"/>
                <w:szCs w:val="24"/>
              </w:rPr>
            </w:pPr>
            <w:r>
              <w:rPr>
                <w:rFonts w:hint="eastAsia"/>
                <w:b/>
                <w:bCs/>
                <w:sz w:val="24"/>
                <w:szCs w:val="24"/>
              </w:rPr>
              <w:t>农业循环经济示范区建设工程。</w:t>
            </w:r>
            <w:r>
              <w:rPr>
                <w:rFonts w:hint="eastAsia"/>
                <w:sz w:val="24"/>
                <w:szCs w:val="24"/>
              </w:rPr>
              <w:t>资源化利用农业废弃物，重点支持利用秸秆生产饲料、肥料、基料，依托畜禽养殖集中区和大型养殖基地建设大中型沼气和有机肥工程，开展农业废弃物绿色高效循环利用示范试点建设，到</w:t>
            </w:r>
            <w:r>
              <w:rPr>
                <w:sz w:val="24"/>
                <w:szCs w:val="24"/>
              </w:rPr>
              <w:t>2020</w:t>
            </w:r>
            <w:r>
              <w:rPr>
                <w:rFonts w:hint="eastAsia"/>
                <w:sz w:val="24"/>
                <w:szCs w:val="24"/>
              </w:rPr>
              <w:t>年秸秆综合利用率达到</w:t>
            </w:r>
            <w:r>
              <w:rPr>
                <w:sz w:val="24"/>
                <w:szCs w:val="24"/>
              </w:rPr>
              <w:t>90%</w:t>
            </w:r>
            <w:r>
              <w:rPr>
                <w:rFonts w:hint="eastAsia"/>
                <w:sz w:val="24"/>
                <w:szCs w:val="24"/>
              </w:rPr>
              <w:t>以上，畜禽粪便资源化率达到</w:t>
            </w:r>
            <w:r>
              <w:rPr>
                <w:sz w:val="24"/>
                <w:szCs w:val="24"/>
              </w:rPr>
              <w:t>95%</w:t>
            </w:r>
            <w:r>
              <w:rPr>
                <w:rFonts w:hint="eastAsia"/>
                <w:sz w:val="24"/>
                <w:szCs w:val="24"/>
              </w:rPr>
              <w:t>以上。</w:t>
            </w:r>
          </w:p>
          <w:p>
            <w:pPr>
              <w:spacing w:line="400" w:lineRule="exact"/>
              <w:ind w:firstLine="474" w:firstLineChars="200"/>
              <w:rPr>
                <w:sz w:val="24"/>
                <w:szCs w:val="24"/>
              </w:rPr>
            </w:pPr>
            <w:r>
              <w:rPr>
                <w:rFonts w:hint="eastAsia"/>
                <w:b/>
                <w:bCs/>
                <w:sz w:val="24"/>
                <w:szCs w:val="24"/>
              </w:rPr>
              <w:t>循环型服务业示范。</w:t>
            </w:r>
            <w:r>
              <w:rPr>
                <w:rFonts w:hint="eastAsia"/>
                <w:sz w:val="24"/>
                <w:szCs w:val="24"/>
              </w:rPr>
              <w:t>在宾馆、餐饮、旅游、物流等领域开展循环型服务业试点，建设</w:t>
            </w:r>
            <w:r>
              <w:rPr>
                <w:sz w:val="24"/>
                <w:szCs w:val="24"/>
              </w:rPr>
              <w:t>1-2</w:t>
            </w:r>
            <w:r>
              <w:rPr>
                <w:rFonts w:hint="eastAsia"/>
                <w:sz w:val="24"/>
                <w:szCs w:val="24"/>
              </w:rPr>
              <w:t>个再利用、资源化示范项目。</w:t>
            </w:r>
          </w:p>
        </w:tc>
      </w:tr>
    </w:tbl>
    <w:p>
      <w:pPr>
        <w:pStyle w:val="4"/>
        <w:spacing w:before="0" w:after="0" w:line="580" w:lineRule="exact"/>
        <w:jc w:val="center"/>
        <w:rPr>
          <w:rFonts w:eastAsia="方正仿宋_GBK"/>
        </w:rPr>
      </w:pPr>
      <w:bookmarkStart w:id="149" w:name="_Toc23306"/>
      <w:r>
        <w:rPr>
          <w:rFonts w:hint="eastAsia" w:eastAsia="方正仿宋_GBK"/>
        </w:rPr>
        <w:t>第三节</w:t>
      </w:r>
      <w:r>
        <w:rPr>
          <w:rFonts w:eastAsia="方正仿宋_GBK"/>
        </w:rPr>
        <w:t xml:space="preserve">  </w:t>
      </w:r>
      <w:r>
        <w:rPr>
          <w:rFonts w:hint="eastAsia" w:eastAsia="方正仿宋_GBK"/>
        </w:rPr>
        <w:t>推进低碳发展</w:t>
      </w:r>
      <w:bookmarkEnd w:id="149"/>
    </w:p>
    <w:p>
      <w:pPr>
        <w:widowControl/>
        <w:spacing w:line="580" w:lineRule="exact"/>
        <w:ind w:firstLine="632" w:firstLineChars="200"/>
      </w:pPr>
      <w:r>
        <w:rPr>
          <w:rFonts w:hint="eastAsia"/>
        </w:rPr>
        <w:t>强化碳排放总量控制，有效控制温室气体排放，积极应对气候变化。加强适应气候变化特别是应对极端天气和气候事件能力建设，完善监测、预警和预防水平。支持有条件的县区率先实现碳排放峰值目标，实施近零碳排放区示范工程，加快城市碳排放综合管理平台建设。强化碳汇能力</w:t>
      </w:r>
      <w:r>
        <w:rPr>
          <w:rStyle w:val="8"/>
        </w:rPr>
        <w:footnoteReference w:id="25"/>
      </w:r>
      <w:r>
        <w:rPr>
          <w:rFonts w:hint="eastAsia"/>
        </w:rPr>
        <w:t>建设，增强森林碳汇，提升绿地、湿地等固碳水平。发展碳汇经济，加快推进先进适用低碳技术和产品的推广应用，积极开发轻质板材、可再生能源等低碳产品，在建材、纺织等重点行业实施低碳技术产业化示范项目。鼓励企业开展低碳体系、低碳产品认证试点，推动低碳城市、社区、商业和园区试点建设。鼓励碳金融市场发展，实行重点单位碳排放报告、核查、核证和配额管理制度，开展节能量和碳排放交易试点建设。</w:t>
      </w:r>
    </w:p>
    <w:p>
      <w:pPr>
        <w:pStyle w:val="3"/>
        <w:spacing w:before="0" w:after="0" w:line="580" w:lineRule="exact"/>
        <w:jc w:val="center"/>
        <w:rPr>
          <w:rFonts w:ascii="Times New Roman" w:hAnsi="Times New Roman" w:eastAsia="方正楷体_GBK" w:cs="Times New Roman"/>
        </w:rPr>
      </w:pPr>
      <w:bookmarkStart w:id="150" w:name="_Toc18955"/>
      <w:r>
        <w:rPr>
          <w:rFonts w:hint="eastAsia" w:ascii="Times New Roman" w:hAnsi="Times New Roman" w:eastAsia="方正楷体_GBK" w:cs="Times New Roman"/>
        </w:rPr>
        <w:t>第十五章</w:t>
      </w:r>
      <w:r>
        <w:rPr>
          <w:rFonts w:ascii="Times New Roman" w:hAnsi="Times New Roman" w:eastAsia="方正楷体_GBK" w:cs="Times New Roman"/>
        </w:rPr>
        <w:t xml:space="preserve">  </w:t>
      </w:r>
      <w:r>
        <w:rPr>
          <w:rFonts w:hint="eastAsia" w:ascii="Times New Roman" w:hAnsi="Times New Roman" w:eastAsia="方正楷体_GBK" w:cs="Times New Roman"/>
        </w:rPr>
        <w:t>建设清洁安全的能源系统</w:t>
      </w:r>
      <w:bookmarkEnd w:id="150"/>
    </w:p>
    <w:p>
      <w:pPr>
        <w:spacing w:line="580" w:lineRule="exact"/>
        <w:ind w:firstLine="632" w:firstLineChars="200"/>
        <w:rPr>
          <w:b/>
          <w:bCs/>
        </w:rPr>
      </w:pPr>
      <w:bookmarkStart w:id="151" w:name="_Toc3190"/>
      <w:r>
        <w:rPr>
          <w:rFonts w:hint="eastAsia"/>
        </w:rPr>
        <w:t>实施“内节外引”能源战略，优化能源结构，坚持节能优先、绿色发展、经济可靠和安全保障，完善储运网络，加强系统集成，扩大引入和加快发展清洁能源并重，推动能源生产和消费革命。</w:t>
      </w:r>
      <w:bookmarkEnd w:id="151"/>
    </w:p>
    <w:p>
      <w:pPr>
        <w:pStyle w:val="4"/>
        <w:spacing w:before="0" w:after="0" w:line="580" w:lineRule="exact"/>
        <w:jc w:val="center"/>
        <w:rPr>
          <w:rFonts w:eastAsia="方正仿宋_GBK"/>
        </w:rPr>
      </w:pPr>
      <w:bookmarkStart w:id="152" w:name="_Toc32313"/>
      <w:bookmarkStart w:id="153" w:name="_Toc29466"/>
      <w:r>
        <w:rPr>
          <w:rFonts w:hint="eastAsia" w:eastAsia="方正仿宋_GBK"/>
        </w:rPr>
        <w:t>第一节</w:t>
      </w:r>
      <w:r>
        <w:rPr>
          <w:rFonts w:eastAsia="方正仿宋_GBK"/>
        </w:rPr>
        <w:t xml:space="preserve">  </w:t>
      </w:r>
      <w:r>
        <w:rPr>
          <w:rFonts w:hint="eastAsia" w:eastAsia="方正仿宋_GBK"/>
        </w:rPr>
        <w:t>扩大清洁能源利用开发规模</w:t>
      </w:r>
      <w:bookmarkEnd w:id="152"/>
    </w:p>
    <w:p>
      <w:pPr>
        <w:spacing w:line="580" w:lineRule="exact"/>
        <w:ind w:firstLine="632" w:firstLineChars="200"/>
      </w:pPr>
      <w:r>
        <w:rPr>
          <w:rFonts w:hint="eastAsia"/>
          <w:kern w:val="0"/>
        </w:rPr>
        <w:t>坚持增加供应与提高效能相结合，统筹利用各种燃气资源，积极拓展民用、交通、工业等用气领域，因地制宜适度建设燃气热电项目。</w:t>
      </w:r>
      <w:bookmarkStart w:id="154" w:name="_Toc1554"/>
      <w:bookmarkEnd w:id="153"/>
      <w:r>
        <w:rPr>
          <w:rFonts w:hint="eastAsia"/>
          <w:kern w:val="0"/>
        </w:rPr>
        <w:t>加快提高可再生能源占能源消费比重，实施以梯级和高值化利用为重点的先进生物质示范工程。实施终端用能清洁替代，加大散煤集中治理力度。</w:t>
      </w:r>
      <w:bookmarkEnd w:id="154"/>
      <w:r>
        <w:rPr>
          <w:rFonts w:hint="eastAsia"/>
        </w:rPr>
        <w:t>推进抽水蓄能电站和燃气调峰电站的建设，加快电网调峰能力建设。</w:t>
      </w:r>
    </w:p>
    <w:p>
      <w:pPr>
        <w:pStyle w:val="4"/>
        <w:spacing w:before="0" w:after="0" w:line="580" w:lineRule="exact"/>
        <w:jc w:val="center"/>
        <w:rPr>
          <w:rFonts w:eastAsia="方正仿宋_GBK"/>
          <w:b w:val="0"/>
          <w:bCs w:val="0"/>
        </w:rPr>
      </w:pPr>
      <w:bookmarkStart w:id="155" w:name="_Toc19729"/>
      <w:bookmarkStart w:id="156" w:name="_Toc31599"/>
      <w:bookmarkStart w:id="157" w:name="_Toc18092"/>
      <w:bookmarkStart w:id="158" w:name="_Toc436387919"/>
      <w:r>
        <w:rPr>
          <w:rFonts w:hint="eastAsia" w:eastAsia="方正仿宋_GBK"/>
        </w:rPr>
        <w:t>第二节</w:t>
      </w:r>
      <w:r>
        <w:rPr>
          <w:rFonts w:eastAsia="方正仿宋_GBK"/>
        </w:rPr>
        <w:t xml:space="preserve">  </w:t>
      </w:r>
      <w:r>
        <w:rPr>
          <w:rFonts w:hint="eastAsia" w:eastAsia="方正仿宋_GBK"/>
        </w:rPr>
        <w:t>完善能源输运储备网络</w:t>
      </w:r>
      <w:bookmarkEnd w:id="155"/>
    </w:p>
    <w:p>
      <w:pPr>
        <w:spacing w:line="580" w:lineRule="exact"/>
        <w:ind w:firstLine="632" w:firstLineChars="200"/>
      </w:pPr>
      <w:r>
        <w:rPr>
          <w:rFonts w:hint="eastAsia"/>
        </w:rPr>
        <w:t>强化区域性中心城市电力联网枢纽地位，优化市域主干电网，加快输电通道和区域内重点输变电新、扩建及增容改造步伐，重点实施与信阳旧城改造、新区建设、产业聚集区发展及能源输送相配套的电网项目建设，</w:t>
      </w:r>
      <w:bookmarkStart w:id="159" w:name="_Toc26581"/>
      <w:bookmarkStart w:id="160" w:name="_Toc436387920"/>
      <w:bookmarkStart w:id="161" w:name="_Toc18365"/>
      <w:r>
        <w:rPr>
          <w:rFonts w:hint="eastAsia"/>
        </w:rPr>
        <w:t>加快</w:t>
      </w:r>
      <w:r>
        <w:t>110</w:t>
      </w:r>
      <w:r>
        <w:rPr>
          <w:rFonts w:hint="eastAsia"/>
        </w:rPr>
        <w:t>千伏及以下城市配电网和农村电网改造升级，增强供电保障能力。</w:t>
      </w:r>
      <w:bookmarkEnd w:id="159"/>
      <w:bookmarkEnd w:id="160"/>
      <w:bookmarkEnd w:id="161"/>
      <w:r>
        <w:rPr>
          <w:rFonts w:hint="eastAsia"/>
        </w:rPr>
        <w:t>支持适应可再生能源发电接入、消纳和储能设施建设。积极谋划建设途经我市的国家油气干线及配套储配库。加大天然气管网敷设与市政道路建设的同步推进力度。实施管道天然气重点镇“镇镇通”。完善油气输配网络，健全油气运营管理体制，提高油气供应能力，打造区域性油气输配中心。</w:t>
      </w:r>
      <w:bookmarkEnd w:id="156"/>
      <w:bookmarkEnd w:id="157"/>
      <w:bookmarkEnd w:id="158"/>
      <w:r>
        <w:t xml:space="preserve"> </w:t>
      </w:r>
    </w:p>
    <w:p>
      <w:pPr>
        <w:pStyle w:val="4"/>
        <w:spacing w:before="0" w:after="0" w:line="580" w:lineRule="exact"/>
        <w:jc w:val="center"/>
        <w:rPr>
          <w:rFonts w:eastAsia="方正仿宋_GBK"/>
        </w:rPr>
      </w:pPr>
      <w:bookmarkStart w:id="162" w:name="_Toc4497"/>
      <w:bookmarkStart w:id="163" w:name="_Toc436387922"/>
      <w:bookmarkStart w:id="164" w:name="_Toc6121"/>
      <w:bookmarkStart w:id="165" w:name="_Toc25815"/>
      <w:r>
        <w:rPr>
          <w:rFonts w:hint="eastAsia" w:eastAsia="方正仿宋_GBK"/>
        </w:rPr>
        <w:t>第三节</w:t>
      </w:r>
      <w:r>
        <w:rPr>
          <w:rFonts w:eastAsia="方正仿宋_GBK"/>
        </w:rPr>
        <w:t xml:space="preserve">  </w:t>
      </w:r>
      <w:r>
        <w:rPr>
          <w:rFonts w:hint="eastAsia" w:eastAsia="方正仿宋_GBK"/>
        </w:rPr>
        <w:t>推动能源系统集成优化</w:t>
      </w:r>
      <w:bookmarkEnd w:id="162"/>
    </w:p>
    <w:p>
      <w:pPr>
        <w:spacing w:line="580" w:lineRule="exact"/>
        <w:ind w:firstLine="632" w:firstLineChars="200"/>
      </w:pPr>
      <w:r>
        <w:rPr>
          <w:rFonts w:hint="eastAsia"/>
        </w:rPr>
        <w:t>坚持集中与分散供能相结合，统筹电、气、热、冷等终端供能设施一体化规划建设，实现能源梯级互补利用。加快智能电网建设，推进能源和信息等领域新技术深度融合，加强分布式能源</w:t>
      </w:r>
      <w:r>
        <w:rPr>
          <w:rStyle w:val="8"/>
        </w:rPr>
        <w:footnoteReference w:id="26"/>
      </w:r>
      <w:r>
        <w:rPr>
          <w:rFonts w:hint="eastAsia"/>
        </w:rPr>
        <w:t>和电动汽车充电设施建设，开展先进储能、智能微网等新技术应用试点，构建能源互联网系统</w:t>
      </w:r>
      <w:r>
        <w:rPr>
          <w:rStyle w:val="8"/>
        </w:rPr>
        <w:footnoteReference w:id="27"/>
      </w:r>
      <w:r>
        <w:rPr>
          <w:rFonts w:hint="eastAsia"/>
        </w:rPr>
        <w:t>和智慧能源系统</w:t>
      </w:r>
      <w:r>
        <w:rPr>
          <w:rStyle w:val="8"/>
        </w:rPr>
        <w:footnoteReference w:id="28"/>
      </w:r>
      <w:r>
        <w:rPr>
          <w:rFonts w:hint="eastAsia"/>
        </w:rPr>
        <w:t>。</w:t>
      </w:r>
      <w:bookmarkEnd w:id="163"/>
      <w:bookmarkEnd w:id="164"/>
      <w:bookmarkEnd w:id="165"/>
      <w:r>
        <w:rPr>
          <w:rFonts w:hint="eastAsia"/>
        </w:rPr>
        <w:t>深化能源体制改革，推进电力供求双方直接交易和智能化调度。</w:t>
      </w:r>
    </w:p>
    <w:tbl>
      <w:tblPr>
        <w:tblStyle w:val="7"/>
        <w:tblW w:w="8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3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小标宋_GBK"/>
                <w:sz w:val="28"/>
                <w:szCs w:val="24"/>
              </w:rPr>
            </w:pPr>
            <w:r>
              <w:rPr>
                <w:rFonts w:hint="eastAsia" w:eastAsia="方正小标宋_GBK"/>
                <w:sz w:val="28"/>
                <w:szCs w:val="24"/>
              </w:rPr>
              <w:t>专栏</w:t>
            </w:r>
            <w:r>
              <w:rPr>
                <w:rFonts w:eastAsia="方正小标宋_GBK"/>
                <w:sz w:val="28"/>
                <w:szCs w:val="24"/>
              </w:rPr>
              <w:t>23</w:t>
            </w:r>
            <w:r>
              <w:rPr>
                <w:rFonts w:hint="eastAsia" w:eastAsia="方正小标宋_GBK"/>
                <w:sz w:val="28"/>
                <w:szCs w:val="24"/>
              </w:rPr>
              <w:t>：能源支撑保障重点工程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8304"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b/>
                <w:bCs/>
                <w:sz w:val="24"/>
                <w:szCs w:val="24"/>
              </w:rPr>
            </w:pPr>
            <w:r>
              <w:rPr>
                <w:rFonts w:hint="eastAsia"/>
                <w:b/>
                <w:bCs/>
                <w:sz w:val="24"/>
                <w:szCs w:val="24"/>
              </w:rPr>
              <w:t>先进生物质能示范基地。</w:t>
            </w:r>
            <w:r>
              <w:rPr>
                <w:rFonts w:hint="eastAsia"/>
                <w:sz w:val="24"/>
                <w:szCs w:val="24"/>
              </w:rPr>
              <w:t>推动餐厨废弃物和城市生活垃圾能源化利用。继续实施沼气、垃圾、秸秆等生物质能源发电工程。</w:t>
            </w:r>
          </w:p>
          <w:p>
            <w:pPr>
              <w:spacing w:line="400" w:lineRule="exact"/>
              <w:ind w:firstLine="474" w:firstLineChars="200"/>
              <w:rPr>
                <w:sz w:val="24"/>
                <w:szCs w:val="24"/>
              </w:rPr>
            </w:pPr>
            <w:r>
              <w:rPr>
                <w:rFonts w:hint="eastAsia"/>
                <w:b/>
                <w:bCs/>
                <w:sz w:val="24"/>
                <w:szCs w:val="24"/>
              </w:rPr>
              <w:t>电力联网枢纽。</w:t>
            </w:r>
            <w:r>
              <w:rPr>
                <w:rFonts w:hint="eastAsia"/>
                <w:color w:val="000000"/>
                <w:sz w:val="24"/>
                <w:szCs w:val="24"/>
              </w:rPr>
              <w:t>实施市域</w:t>
            </w:r>
            <w:r>
              <w:rPr>
                <w:color w:val="000000"/>
                <w:sz w:val="24"/>
                <w:szCs w:val="24"/>
              </w:rPr>
              <w:t>220</w:t>
            </w:r>
            <w:r>
              <w:rPr>
                <w:rFonts w:hint="eastAsia"/>
                <w:color w:val="000000"/>
                <w:sz w:val="24"/>
                <w:szCs w:val="24"/>
              </w:rPr>
              <w:t>千伏主干网架优化、城乡配电网建设改造、智能化提速、农田机井通电等工程，实现市</w:t>
            </w:r>
            <w:r>
              <w:rPr>
                <w:color w:val="000000"/>
                <w:sz w:val="24"/>
                <w:szCs w:val="24"/>
              </w:rPr>
              <w:t>500</w:t>
            </w:r>
            <w:r>
              <w:rPr>
                <w:rFonts w:hint="eastAsia"/>
                <w:color w:val="000000"/>
                <w:sz w:val="24"/>
                <w:szCs w:val="24"/>
              </w:rPr>
              <w:t>千伏变电站、所有县</w:t>
            </w:r>
            <w:r>
              <w:rPr>
                <w:color w:val="000000"/>
                <w:sz w:val="24"/>
                <w:szCs w:val="24"/>
              </w:rPr>
              <w:t>220</w:t>
            </w:r>
            <w:r>
              <w:rPr>
                <w:rFonts w:hint="eastAsia"/>
                <w:color w:val="000000"/>
                <w:sz w:val="24"/>
                <w:szCs w:val="24"/>
              </w:rPr>
              <w:t>千伏变电站、所有产业集聚区</w:t>
            </w:r>
            <w:r>
              <w:rPr>
                <w:color w:val="000000"/>
                <w:sz w:val="24"/>
                <w:szCs w:val="24"/>
              </w:rPr>
              <w:t>110</w:t>
            </w:r>
            <w:r>
              <w:rPr>
                <w:rFonts w:hint="eastAsia"/>
                <w:color w:val="000000"/>
                <w:sz w:val="24"/>
                <w:szCs w:val="24"/>
              </w:rPr>
              <w:t>千伏变电站、所有乡镇</w:t>
            </w:r>
            <w:r>
              <w:rPr>
                <w:color w:val="000000"/>
                <w:sz w:val="24"/>
                <w:szCs w:val="24"/>
              </w:rPr>
              <w:t>35</w:t>
            </w:r>
            <w:r>
              <w:rPr>
                <w:rFonts w:hint="eastAsia"/>
                <w:color w:val="000000"/>
                <w:sz w:val="24"/>
                <w:szCs w:val="24"/>
              </w:rPr>
              <w:t>千伏及以上变电站、所有自然村</w:t>
            </w:r>
            <w:r>
              <w:rPr>
                <w:color w:val="000000"/>
                <w:sz w:val="24"/>
                <w:szCs w:val="24"/>
              </w:rPr>
              <w:t>10</w:t>
            </w:r>
            <w:r>
              <w:rPr>
                <w:rFonts w:hint="eastAsia"/>
                <w:color w:val="000000"/>
                <w:sz w:val="24"/>
                <w:szCs w:val="24"/>
              </w:rPr>
              <w:t>千伏台区、所有用户智能电表等“六个全覆盖”。加强电网调峰能力建设。</w:t>
            </w:r>
          </w:p>
          <w:p>
            <w:pPr>
              <w:spacing w:line="400" w:lineRule="exact"/>
              <w:ind w:firstLine="474" w:firstLineChars="200"/>
              <w:rPr>
                <w:b/>
                <w:bCs/>
                <w:sz w:val="24"/>
                <w:szCs w:val="24"/>
              </w:rPr>
            </w:pPr>
            <w:r>
              <w:rPr>
                <w:rFonts w:hint="eastAsia"/>
                <w:b/>
                <w:bCs/>
                <w:sz w:val="24"/>
                <w:szCs w:val="24"/>
              </w:rPr>
              <w:t>区域性油气输配能力中心。</w:t>
            </w:r>
            <w:r>
              <w:rPr>
                <w:rFonts w:hint="eastAsia"/>
                <w:sz w:val="24"/>
                <w:szCs w:val="24"/>
              </w:rPr>
              <w:t>同步完善地方管网和储配设施，扩大管道天然气覆盖范围。</w:t>
            </w:r>
          </w:p>
          <w:p>
            <w:pPr>
              <w:spacing w:line="400" w:lineRule="exact"/>
              <w:ind w:firstLine="474" w:firstLineChars="200"/>
              <w:rPr>
                <w:color w:val="000000"/>
                <w:sz w:val="24"/>
                <w:szCs w:val="24"/>
              </w:rPr>
            </w:pPr>
            <w:r>
              <w:rPr>
                <w:rFonts w:hint="eastAsia"/>
                <w:b/>
                <w:bCs/>
                <w:sz w:val="24"/>
                <w:szCs w:val="24"/>
              </w:rPr>
              <w:t>新能源和可再生能源提速工程。</w:t>
            </w:r>
            <w:r>
              <w:rPr>
                <w:rFonts w:hint="eastAsia"/>
                <w:color w:val="000000"/>
                <w:sz w:val="24"/>
                <w:szCs w:val="24"/>
              </w:rPr>
              <w:t>依托产业集聚区开展分布式光伏发电集中应用试点，</w:t>
            </w:r>
            <w:r>
              <w:rPr>
                <w:rFonts w:hint="eastAsia"/>
                <w:sz w:val="24"/>
                <w:szCs w:val="24"/>
              </w:rPr>
              <w:t>加强新能源集成应用。做好信阳核电项目厂址保护。支持罗山、潢川、淮滨等创建绿色能源示范县。</w:t>
            </w:r>
          </w:p>
          <w:p>
            <w:pPr>
              <w:spacing w:line="400" w:lineRule="exact"/>
              <w:ind w:firstLine="474" w:firstLineChars="200"/>
              <w:rPr>
                <w:sz w:val="24"/>
                <w:szCs w:val="24"/>
              </w:rPr>
            </w:pPr>
            <w:r>
              <w:rPr>
                <w:rFonts w:hint="eastAsia"/>
                <w:b/>
                <w:bCs/>
                <w:sz w:val="24"/>
                <w:szCs w:val="24"/>
              </w:rPr>
              <w:t>电源：</w:t>
            </w:r>
            <w:r>
              <w:rPr>
                <w:rFonts w:hint="eastAsia"/>
                <w:sz w:val="24"/>
                <w:szCs w:val="24"/>
              </w:rPr>
              <w:t>建设罗山</w:t>
            </w:r>
            <w:r>
              <w:rPr>
                <w:sz w:val="24"/>
                <w:szCs w:val="24"/>
              </w:rPr>
              <w:t>2</w:t>
            </w:r>
            <w:r>
              <w:rPr>
                <w:rFonts w:hint="eastAsia"/>
                <w:sz w:val="24"/>
                <w:szCs w:val="24"/>
              </w:rPr>
              <w:t>×</w:t>
            </w:r>
            <w:r>
              <w:rPr>
                <w:sz w:val="24"/>
                <w:szCs w:val="24"/>
              </w:rPr>
              <w:t>30</w:t>
            </w:r>
            <w:r>
              <w:rPr>
                <w:rFonts w:hint="eastAsia"/>
                <w:sz w:val="24"/>
                <w:szCs w:val="24"/>
              </w:rPr>
              <w:t>万千瓦燃气电厂，争取开工建设潢川、平桥热电联产电厂，光山五岳、新县大坪抽水蓄能电站等一批大型电源类项目。</w:t>
            </w:r>
          </w:p>
        </w:tc>
      </w:tr>
    </w:tbl>
    <w:p>
      <w:pPr>
        <w:pStyle w:val="3"/>
        <w:spacing w:before="0" w:after="0" w:line="580" w:lineRule="exact"/>
        <w:jc w:val="center"/>
        <w:rPr>
          <w:rFonts w:ascii="Times New Roman" w:hAnsi="Times New Roman" w:eastAsia="方正楷体_GBK" w:cs="Times New Roman"/>
        </w:rPr>
      </w:pPr>
      <w:bookmarkStart w:id="166" w:name="_Toc5995"/>
      <w:r>
        <w:rPr>
          <w:rFonts w:hint="eastAsia" w:ascii="Times New Roman" w:hAnsi="Times New Roman" w:eastAsia="方正楷体_GBK" w:cs="Times New Roman"/>
        </w:rPr>
        <w:t>第十六章</w:t>
      </w:r>
      <w:r>
        <w:rPr>
          <w:rFonts w:ascii="Times New Roman" w:hAnsi="Times New Roman" w:eastAsia="方正楷体_GBK" w:cs="Times New Roman"/>
        </w:rPr>
        <w:t xml:space="preserve">  </w:t>
      </w:r>
      <w:r>
        <w:rPr>
          <w:rFonts w:hint="eastAsia" w:ascii="Times New Roman" w:hAnsi="Times New Roman" w:eastAsia="方正楷体_GBK" w:cs="Times New Roman"/>
        </w:rPr>
        <w:t>建设和谐高效的水利系统</w:t>
      </w:r>
      <w:bookmarkEnd w:id="166"/>
    </w:p>
    <w:p>
      <w:pPr>
        <w:widowControl/>
        <w:spacing w:line="580" w:lineRule="exact"/>
        <w:ind w:firstLine="632" w:firstLineChars="200"/>
      </w:pPr>
      <w:r>
        <w:rPr>
          <w:rFonts w:hint="eastAsia"/>
        </w:rPr>
        <w:t>统筹推进重大水利工程和民生水利工程建设，实施最严格的水资源管理制度，着力增强水资源水环境的承载和保障能力，构建复合型、多功能的现代化水利网络体系。</w:t>
      </w:r>
    </w:p>
    <w:p>
      <w:pPr>
        <w:pStyle w:val="4"/>
        <w:spacing w:before="0" w:after="0" w:line="580" w:lineRule="exact"/>
        <w:jc w:val="center"/>
        <w:rPr>
          <w:rFonts w:eastAsia="方正仿宋_GBK"/>
        </w:rPr>
      </w:pPr>
      <w:bookmarkStart w:id="167" w:name="_Toc6266"/>
      <w:r>
        <w:rPr>
          <w:rFonts w:hint="eastAsia" w:eastAsia="方正仿宋_GBK"/>
        </w:rPr>
        <w:t>第一节</w:t>
      </w:r>
      <w:r>
        <w:rPr>
          <w:rFonts w:eastAsia="方正仿宋_GBK"/>
        </w:rPr>
        <w:t xml:space="preserve">  </w:t>
      </w:r>
      <w:r>
        <w:rPr>
          <w:rFonts w:hint="eastAsia" w:eastAsia="方正仿宋_GBK"/>
        </w:rPr>
        <w:t>强化水利工程体系支撑</w:t>
      </w:r>
      <w:bookmarkEnd w:id="167"/>
    </w:p>
    <w:p>
      <w:pPr>
        <w:widowControl/>
        <w:spacing w:line="580" w:lineRule="exact"/>
        <w:ind w:firstLine="552" w:firstLineChars="200"/>
      </w:pPr>
      <w:r>
        <w:rPr>
          <w:sz w:val="28"/>
          <w:szCs w:val="28"/>
        </w:rPr>
        <w:t xml:space="preserve"> </w:t>
      </w:r>
      <w:r>
        <w:rPr>
          <w:rFonts w:hint="eastAsia"/>
        </w:rPr>
        <w:t>按照淮河流域防洪规划、水利规划、水资源综合利用规划等要求，突出抓好大中小型水库等水源建设。加快推进水利控制性工程、病险水库水闸、河道整治及堤防加固、水系连通、水生态环境治理、水土保持综合治理、农田水利建设等淮河上游水生态建设系列工程。完善供水网络，加强水资源调配工程建设，实施农村饮水安全提质增效工程。完善灌排体系，加快推进工程建设，增加有效灌溉面积。强化水工程的保护与管理，发挥工程效益。完善水文水资源检测体系，建设涵盖地表水与地下水的各类水功能检测评价信息系统。完善防洪体系和排水体系，加强山洪地质灾害防治，提高城镇防洪标准，完成山洪灾害易发区预警预报系统建设。</w:t>
      </w:r>
    </w:p>
    <w:p>
      <w:pPr>
        <w:pStyle w:val="4"/>
        <w:spacing w:before="0" w:after="0" w:line="580" w:lineRule="exact"/>
        <w:jc w:val="center"/>
        <w:rPr>
          <w:rFonts w:eastAsia="方正仿宋_GBK"/>
        </w:rPr>
      </w:pPr>
      <w:bookmarkStart w:id="168" w:name="_Toc30564"/>
      <w:r>
        <w:rPr>
          <w:rFonts w:hint="eastAsia" w:eastAsia="方正仿宋_GBK"/>
        </w:rPr>
        <w:t>第二节</w:t>
      </w:r>
      <w:r>
        <w:rPr>
          <w:rFonts w:eastAsia="方正仿宋_GBK"/>
        </w:rPr>
        <w:t xml:space="preserve">  </w:t>
      </w:r>
      <w:r>
        <w:rPr>
          <w:rFonts w:hint="eastAsia" w:eastAsia="方正仿宋_GBK"/>
        </w:rPr>
        <w:t>加强生态水系建设</w:t>
      </w:r>
      <w:bookmarkEnd w:id="168"/>
    </w:p>
    <w:p>
      <w:pPr>
        <w:spacing w:line="580" w:lineRule="exact"/>
        <w:ind w:firstLine="632" w:firstLineChars="200"/>
      </w:pPr>
      <w:r>
        <w:rPr>
          <w:rFonts w:hint="eastAsia"/>
        </w:rPr>
        <w:t>以“水域通畅、水清宜人、水景辉映、水美城乡”为目标，整体规划中心城区和县城城市河湖水系水景，推进水系生态修复和景观美化，建设融城市水系和生态绿化为一体的“水美城市”。稳步推进县乡水生态文明体系建设，打造一批“水美乡村”。加快水生态环境工程建设，推进国家级水生态文明城市试点创建工作。开展水土保持、地表水污染治理、地下水保护、城市水源地保护、入河排污口综合整治等工程。全面推进城市河道治理和生态修复工程。完成中心城区和县城河道综合治理，逐步建立良好的水环境生态体系。</w:t>
      </w:r>
    </w:p>
    <w:tbl>
      <w:tblPr>
        <w:tblStyle w:val="7"/>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sz w:val="24"/>
                <w:szCs w:val="24"/>
              </w:rPr>
            </w:pPr>
            <w:r>
              <w:rPr>
                <w:rFonts w:hint="eastAsia" w:eastAsia="方正小标宋_GBK"/>
                <w:sz w:val="28"/>
                <w:szCs w:val="24"/>
              </w:rPr>
              <w:t>专栏</w:t>
            </w:r>
            <w:r>
              <w:rPr>
                <w:rFonts w:eastAsia="方正小标宋_GBK"/>
                <w:sz w:val="28"/>
                <w:szCs w:val="24"/>
              </w:rPr>
              <w:t>24</w:t>
            </w:r>
            <w:r>
              <w:rPr>
                <w:rFonts w:hint="eastAsia" w:eastAsia="方正小标宋_GBK"/>
                <w:sz w:val="28"/>
                <w:szCs w:val="24"/>
              </w:rPr>
              <w:t>：水利重点工程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重点水源工程。</w:t>
            </w:r>
            <w:r>
              <w:rPr>
                <w:rFonts w:hint="eastAsia"/>
                <w:sz w:val="24"/>
                <w:szCs w:val="24"/>
              </w:rPr>
              <w:t>建成出山店水库，争取开工建设信阳大别山革命老区引淮供水灌溉工程，加快推进罗山张湾、光山袁湾和白雀园等大型水库前期工作，积极推进一批中小型水库和“引九济石”等引水、调水工程。</w:t>
            </w:r>
          </w:p>
          <w:p>
            <w:pPr>
              <w:spacing w:line="400" w:lineRule="exact"/>
              <w:ind w:firstLine="474" w:firstLineChars="200"/>
              <w:rPr>
                <w:sz w:val="24"/>
                <w:szCs w:val="24"/>
              </w:rPr>
            </w:pPr>
            <w:r>
              <w:rPr>
                <w:rFonts w:hint="eastAsia"/>
                <w:b/>
                <w:bCs/>
                <w:sz w:val="24"/>
                <w:szCs w:val="24"/>
              </w:rPr>
              <w:t>大中型灌区建设工程。</w:t>
            </w:r>
            <w:r>
              <w:rPr>
                <w:rFonts w:hint="eastAsia"/>
                <w:sz w:val="24"/>
                <w:szCs w:val="24"/>
              </w:rPr>
              <w:t>积极推进出山店大型灌区建设，持续抓好鲇鱼山、石山口、泼河水库等</w:t>
            </w:r>
            <w:r>
              <w:rPr>
                <w:rFonts w:hint="eastAsia"/>
                <w:color w:val="000000"/>
                <w:sz w:val="24"/>
                <w:szCs w:val="24"/>
              </w:rPr>
              <w:t>大中型</w:t>
            </w:r>
            <w:r>
              <w:rPr>
                <w:rFonts w:hint="eastAsia"/>
                <w:sz w:val="24"/>
                <w:szCs w:val="24"/>
              </w:rPr>
              <w:t>灌区续建配套</w:t>
            </w:r>
            <w:r>
              <w:rPr>
                <w:rFonts w:hint="eastAsia"/>
                <w:color w:val="000000"/>
                <w:sz w:val="24"/>
                <w:szCs w:val="24"/>
              </w:rPr>
              <w:t>节水</w:t>
            </w:r>
            <w:r>
              <w:rPr>
                <w:rFonts w:hint="eastAsia"/>
                <w:sz w:val="24"/>
                <w:szCs w:val="24"/>
              </w:rPr>
              <w:t>改造项目。</w:t>
            </w:r>
          </w:p>
          <w:p>
            <w:pPr>
              <w:spacing w:line="400" w:lineRule="exact"/>
              <w:ind w:firstLine="474" w:firstLineChars="200"/>
              <w:rPr>
                <w:sz w:val="24"/>
                <w:szCs w:val="24"/>
              </w:rPr>
            </w:pPr>
            <w:r>
              <w:rPr>
                <w:rFonts w:hint="eastAsia"/>
                <w:b/>
                <w:bCs/>
                <w:color w:val="000000"/>
                <w:sz w:val="24"/>
                <w:szCs w:val="24"/>
              </w:rPr>
              <w:t>重点河流防洪治理工程。</w:t>
            </w:r>
            <w:r>
              <w:rPr>
                <w:rFonts w:hint="eastAsia"/>
                <w:sz w:val="24"/>
                <w:szCs w:val="24"/>
              </w:rPr>
              <w:t>加快建设淮河干流一般堤防加固工程，推进史灌河、大洪河等重要支流及中小河流治理工程、淮河流域蓄滞洪区建设、淮河流域平原洼地治理工程及山洪灾害防治工程。</w:t>
            </w:r>
          </w:p>
          <w:p>
            <w:pPr>
              <w:spacing w:line="400" w:lineRule="exact"/>
              <w:ind w:firstLine="474" w:firstLineChars="200"/>
              <w:rPr>
                <w:sz w:val="24"/>
                <w:szCs w:val="24"/>
              </w:rPr>
            </w:pPr>
            <w:r>
              <w:rPr>
                <w:rFonts w:hint="eastAsia"/>
                <w:b/>
                <w:bCs/>
                <w:sz w:val="24"/>
                <w:szCs w:val="24"/>
              </w:rPr>
              <w:t>生态水系治理工程。</w:t>
            </w:r>
            <w:r>
              <w:rPr>
                <w:rFonts w:hint="eastAsia"/>
                <w:sz w:val="24"/>
                <w:szCs w:val="24"/>
              </w:rPr>
              <w:t>推进城市内河及浉河、陶家河、澺河、乌龙河、潢河、小黄河、官渡河、明河、朝天河等城市生态景观河道治理工程，积极推进水系贯通工程。</w:t>
            </w:r>
          </w:p>
        </w:tc>
      </w:tr>
    </w:tbl>
    <w:p>
      <w:pPr>
        <w:pStyle w:val="3"/>
        <w:spacing w:before="0" w:after="0" w:line="580" w:lineRule="exact"/>
        <w:jc w:val="center"/>
        <w:rPr>
          <w:rFonts w:ascii="Times New Roman" w:hAnsi="Times New Roman" w:eastAsia="方正楷体_GBK" w:cs="Times New Roman"/>
        </w:rPr>
      </w:pPr>
      <w:bookmarkStart w:id="169" w:name="_Toc9875"/>
      <w:r>
        <w:rPr>
          <w:rFonts w:hint="eastAsia" w:ascii="Times New Roman" w:hAnsi="Times New Roman" w:eastAsia="方正楷体_GBK" w:cs="Times New Roman"/>
        </w:rPr>
        <w:t>第十七章</w:t>
      </w:r>
      <w:r>
        <w:rPr>
          <w:rFonts w:ascii="Times New Roman" w:hAnsi="Times New Roman" w:eastAsia="方正楷体_GBK" w:cs="Times New Roman"/>
        </w:rPr>
        <w:t xml:space="preserve">  </w:t>
      </w:r>
      <w:r>
        <w:rPr>
          <w:rFonts w:hint="eastAsia" w:ascii="Times New Roman" w:hAnsi="Times New Roman" w:eastAsia="方正楷体_GBK" w:cs="Times New Roman"/>
        </w:rPr>
        <w:t>加强生态建设和保护</w:t>
      </w:r>
      <w:bookmarkEnd w:id="169"/>
    </w:p>
    <w:p>
      <w:pPr>
        <w:spacing w:line="580" w:lineRule="exact"/>
        <w:ind w:firstLine="632" w:firstLineChars="200"/>
      </w:pPr>
      <w:r>
        <w:rPr>
          <w:rFonts w:hint="eastAsia"/>
        </w:rPr>
        <w:t>落实国家主体功能区建设试点示范方案和生态市建设规划，实施重大生态修复和建设工程，完善生态格局，构建多层次、网络化、功能复合的生态系统，全面提升自然生态系统稳定性和生态服务功能。</w:t>
      </w:r>
    </w:p>
    <w:p>
      <w:pPr>
        <w:pStyle w:val="4"/>
        <w:spacing w:before="0" w:after="0" w:line="580" w:lineRule="exact"/>
        <w:jc w:val="center"/>
        <w:rPr>
          <w:rFonts w:eastAsia="方正仿宋_GBK"/>
        </w:rPr>
      </w:pPr>
      <w:bookmarkStart w:id="170" w:name="_Toc7858"/>
      <w:r>
        <w:rPr>
          <w:rFonts w:hint="eastAsia" w:eastAsia="方正仿宋_GBK"/>
        </w:rPr>
        <w:t>第一节</w:t>
      </w:r>
      <w:r>
        <w:rPr>
          <w:rFonts w:eastAsia="方正仿宋_GBK"/>
        </w:rPr>
        <w:t xml:space="preserve">  </w:t>
      </w:r>
      <w:r>
        <w:rPr>
          <w:rFonts w:hint="eastAsia" w:eastAsia="方正仿宋_GBK"/>
        </w:rPr>
        <w:t>推进重点生态廊道建设</w:t>
      </w:r>
      <w:bookmarkEnd w:id="170"/>
    </w:p>
    <w:p>
      <w:pPr>
        <w:spacing w:line="580" w:lineRule="exact"/>
        <w:ind w:firstLine="632" w:firstLineChars="200"/>
      </w:pPr>
      <w:r>
        <w:rPr>
          <w:rFonts w:hint="eastAsia"/>
        </w:rPr>
        <w:t>加快沿淮生态廊道建设，强化流域生态治理协调联动，推动淮河沿线生态建设一体化，建设上中下游协调发展的生态经济带。把生态廊道建设和城乡绿道建设相结合</w:t>
      </w:r>
      <w:r>
        <w:t>,</w:t>
      </w:r>
      <w:r>
        <w:rPr>
          <w:rFonts w:hint="eastAsia"/>
        </w:rPr>
        <w:t>在生态廊道中建设满足低碳出行、休闲健身、旅游观光的城乡绿道</w:t>
      </w:r>
      <w:r>
        <w:t>,</w:t>
      </w:r>
      <w:r>
        <w:rPr>
          <w:rFonts w:hint="eastAsia"/>
        </w:rPr>
        <w:t>打造城乡一体的生态绿道网络。沿着生态廊道实施国家林业重点工程，包括重点地区防护林、野生动植物和自然保护区建设、湿地保护、生态公益林建设等系列工程。加快公路沿线及河湖水库周边观光林带、淮河生态湿地和农家休闲旅游产业带建设，防止水土流失，构建集景观、生态和社会效应于一体的绿色廊道系统。</w:t>
      </w:r>
    </w:p>
    <w:p>
      <w:pPr>
        <w:pStyle w:val="4"/>
        <w:spacing w:before="0" w:after="0" w:line="580" w:lineRule="exact"/>
        <w:jc w:val="center"/>
        <w:rPr>
          <w:rFonts w:eastAsia="方正仿宋_GBK"/>
        </w:rPr>
      </w:pPr>
      <w:bookmarkStart w:id="171" w:name="_Toc10493"/>
      <w:r>
        <w:rPr>
          <w:rFonts w:hint="eastAsia" w:eastAsia="方正仿宋_GBK"/>
        </w:rPr>
        <w:t>第二节</w:t>
      </w:r>
      <w:r>
        <w:rPr>
          <w:rFonts w:eastAsia="方正仿宋_GBK"/>
        </w:rPr>
        <w:t xml:space="preserve">  </w:t>
      </w:r>
      <w:r>
        <w:rPr>
          <w:rFonts w:hint="eastAsia" w:eastAsia="方正仿宋_GBK"/>
        </w:rPr>
        <w:t>加快林业生态建设</w:t>
      </w:r>
      <w:bookmarkEnd w:id="171"/>
    </w:p>
    <w:p>
      <w:pPr>
        <w:spacing w:line="580" w:lineRule="exact"/>
        <w:ind w:firstLine="632" w:firstLineChars="200"/>
      </w:pPr>
      <w:r>
        <w:rPr>
          <w:rFonts w:hint="eastAsia"/>
        </w:rPr>
        <w:t>优化“三区一带”国土生态安全体系布局，南部山区重点保护现有森林资源，充分发挥森林的综合效益；中部丘岗区大力植树造林，提高林地生产力；北部平原区积极推进农田防护林改建，建立稳定的农田防护林体系；沿淮建设生态保育带。实施大别山生态安全屏障系列工程</w:t>
      </w:r>
      <w:r>
        <w:t>,</w:t>
      </w:r>
      <w:r>
        <w:rPr>
          <w:rFonts w:hint="eastAsia"/>
        </w:rPr>
        <w:t>积极构建大别山生态安全空间格局。开展大规模国土绿化行动，实施林业生态市提升工程。完善天然林保护制度，全面禁止天然林商业性采伐，扩大退耕还林。全面加快山区生态体系、农田防护林体系等省级重点生态工程建设，重点推进森林抚育改造、林业产业化发展，健全林业生态文明体系，增加森林面积和蓄积量，持续提高林业生态承载能力，进一步提高全市森林覆盖率。实施大别山区营造林工程，建设种类多样、结构复杂、功能强大的山区森林植被。推进北部平原农区农田防护林改扩建，稳定和扩大退耕还林成果，建设带、林、网相结合，多树种、多层次稳固的平原农林复合生态系统，构筑粮食高产稳产生态屏障。建设一批特色经济林基地、花卉苗木基地。深入实施林木良种培育和林业科技创新工程。深化集体林权制度改革，推进国有林场改革。</w:t>
      </w:r>
    </w:p>
    <w:p>
      <w:pPr>
        <w:pStyle w:val="4"/>
        <w:spacing w:before="0" w:after="0" w:line="580" w:lineRule="exact"/>
        <w:jc w:val="center"/>
        <w:rPr>
          <w:rFonts w:eastAsia="方正仿宋_GBK"/>
        </w:rPr>
      </w:pPr>
      <w:bookmarkStart w:id="172" w:name="_Toc26387"/>
      <w:r>
        <w:rPr>
          <w:rFonts w:hint="eastAsia" w:eastAsia="方正仿宋_GBK"/>
        </w:rPr>
        <w:t>第三节</w:t>
      </w:r>
      <w:r>
        <w:rPr>
          <w:rFonts w:eastAsia="方正仿宋_GBK"/>
        </w:rPr>
        <w:t xml:space="preserve">  </w:t>
      </w:r>
      <w:r>
        <w:rPr>
          <w:rFonts w:hint="eastAsia" w:eastAsia="方正仿宋_GBK"/>
        </w:rPr>
        <w:t>加强生态保护和修复</w:t>
      </w:r>
      <w:bookmarkEnd w:id="172"/>
    </w:p>
    <w:p>
      <w:pPr>
        <w:spacing w:line="580" w:lineRule="exact"/>
        <w:ind w:firstLine="632" w:firstLineChars="200"/>
      </w:pPr>
      <w:r>
        <w:rPr>
          <w:rFonts w:hint="eastAsia"/>
        </w:rPr>
        <w:t>实施山水田林湖生态保护和修复工程，顺应自然规律，采取综合性治理手段，宜林则林，宜草则草，宜荒则荒，发挥自然生态系统自我调节和自我修复能力。加强水生态和湿地恢复保护，积极开展南湾湖等重点湖泊河流生态环境修复，连通河湖库水系，开展退耕还湿、退养还滩，建设环湖沿河缓冲带和隔离带。推进水土流失综合治理、坡耕地综合治理、清洁型小流域治理工程，开展破损山体和工矿废弃地的综合整治，实施丘陵岗区、荒山、茶山等植被系统修复工程，减少水土流失。全面保护重要生物物种，严格保护野生动植物栖息地，实施濒危野生动植物抢救性保护工程和生物多样性保护行动计划，有效防范物种资源丧失和流失。加强土壤环境监测监管和污染治理能力建设。加强矿山地质环境恢复和治理，严格控制矿山开发对生态环境的破坏。加强地质遗迹保护。</w:t>
      </w:r>
    </w:p>
    <w:p>
      <w:pPr>
        <w:pStyle w:val="4"/>
        <w:spacing w:before="0" w:after="0" w:line="580" w:lineRule="exact"/>
        <w:jc w:val="center"/>
        <w:rPr>
          <w:rFonts w:eastAsia="方正仿宋_GBK"/>
        </w:rPr>
      </w:pPr>
      <w:bookmarkStart w:id="173" w:name="_Toc14109"/>
      <w:r>
        <w:rPr>
          <w:rFonts w:hint="eastAsia" w:eastAsia="方正仿宋_GBK"/>
        </w:rPr>
        <w:t>第四节</w:t>
      </w:r>
      <w:r>
        <w:rPr>
          <w:rFonts w:eastAsia="方正仿宋_GBK"/>
        </w:rPr>
        <w:t xml:space="preserve">  </w:t>
      </w:r>
      <w:r>
        <w:rPr>
          <w:rFonts w:hint="eastAsia" w:eastAsia="方正仿宋_GBK"/>
        </w:rPr>
        <w:t>健全生态文明制度</w:t>
      </w:r>
      <w:bookmarkEnd w:id="173"/>
    </w:p>
    <w:p>
      <w:pPr>
        <w:spacing w:line="580" w:lineRule="exact"/>
        <w:ind w:firstLine="632" w:firstLineChars="200"/>
      </w:pPr>
      <w:r>
        <w:rPr>
          <w:rFonts w:hint="eastAsia"/>
        </w:rPr>
        <w:t>构建政府主导、人大监督、司法介入、企业主体、社会参与的环境保护治理体系。建立完善生态环保地方性法规，全面落实生态保护红线管理、生态补偿、生态文明考核评价、生态环境损害赔偿和责任追究等制度。加快自然资源及其产品价格改革，推行环境污染第三方治理以及节能量、碳排放权、排污权和水权交易等市场化机制。建立覆盖所有固定污染源的企业排放许可制。建立环境行政执法与刑事司法相衔接的联动工作机制，建立健全环境信息公开和举报制度，加大环境违法犯罪行为查处和惩罚力度，积极探索环境保护公益诉讼制度。</w:t>
      </w:r>
      <w:r>
        <w:rPr>
          <w:rFonts w:hint="eastAsia"/>
          <w:color w:val="2B2B2B"/>
          <w:shd w:val="clear" w:color="auto" w:fill="FFFFFF"/>
        </w:rPr>
        <w:t>注重</w:t>
      </w:r>
      <w:r>
        <w:rPr>
          <w:rFonts w:hint="eastAsia"/>
        </w:rPr>
        <w:t>生态文化建设，开展生态修复和生态功能区教育普及等系列活动</w:t>
      </w:r>
      <w:r>
        <w:rPr>
          <w:rFonts w:hint="eastAsia"/>
          <w:color w:val="2B2B2B"/>
          <w:shd w:val="clear" w:color="auto" w:fill="FFFFFF"/>
        </w:rPr>
        <w:t>。</w:t>
      </w:r>
      <w:r>
        <w:rPr>
          <w:rFonts w:hint="eastAsia"/>
        </w:rPr>
        <w:t>加强生态价值观教育，提高全民生态文明意识，倡导合理消费，力戒奢侈浪费，培养全社会形成绿色消费、勤俭节约的良好社会风尚。</w:t>
      </w:r>
    </w:p>
    <w:tbl>
      <w:tblPr>
        <w:tblStyle w:val="7"/>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3"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b/>
                <w:bCs/>
                <w:sz w:val="24"/>
                <w:szCs w:val="24"/>
              </w:rPr>
            </w:pPr>
            <w:r>
              <w:rPr>
                <w:rFonts w:hint="eastAsia" w:eastAsia="方正小标宋_GBK"/>
                <w:sz w:val="28"/>
                <w:szCs w:val="24"/>
              </w:rPr>
              <w:t>专栏</w:t>
            </w:r>
            <w:r>
              <w:rPr>
                <w:rFonts w:eastAsia="方正小标宋_GBK"/>
                <w:sz w:val="28"/>
                <w:szCs w:val="24"/>
              </w:rPr>
              <w:t>25</w:t>
            </w:r>
            <w:r>
              <w:rPr>
                <w:rFonts w:hint="eastAsia" w:eastAsia="方正小标宋_GBK"/>
                <w:sz w:val="28"/>
                <w:szCs w:val="24"/>
              </w:rPr>
              <w:t>：生态建设重大工程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3"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林业生态建设。</w:t>
            </w:r>
            <w:r>
              <w:rPr>
                <w:rFonts w:hint="eastAsia"/>
                <w:sz w:val="24"/>
                <w:szCs w:val="24"/>
              </w:rPr>
              <w:t>实施天然林保护、退耕还林、荒山绿化等林业重点工程。推进森林碳汇等工程。</w:t>
            </w:r>
          </w:p>
          <w:p>
            <w:pPr>
              <w:spacing w:line="400" w:lineRule="exact"/>
              <w:ind w:firstLine="474" w:firstLineChars="200"/>
              <w:rPr>
                <w:sz w:val="24"/>
                <w:szCs w:val="24"/>
              </w:rPr>
            </w:pPr>
            <w:r>
              <w:rPr>
                <w:rFonts w:hint="eastAsia"/>
                <w:b/>
                <w:bCs/>
                <w:sz w:val="24"/>
                <w:szCs w:val="24"/>
              </w:rPr>
              <w:t>沿淮生态保育带建设。</w:t>
            </w:r>
            <w:r>
              <w:rPr>
                <w:rFonts w:hint="eastAsia"/>
                <w:sz w:val="24"/>
                <w:szCs w:val="24"/>
              </w:rPr>
              <w:t>全面实施沿淮河湿地生态保护和修复，稳步实施退耕还林，维护淮河安全。建设防护林、生态经济林，开展生态修复，保护生物多样性，构建沿淮河综合性生态保育带。保护大别山优质种质资源，建设国家级水产种质资源保护区。</w:t>
            </w:r>
          </w:p>
          <w:p>
            <w:pPr>
              <w:widowControl/>
              <w:spacing w:line="400" w:lineRule="exact"/>
              <w:ind w:firstLine="474" w:firstLineChars="200"/>
              <w:rPr>
                <w:sz w:val="24"/>
                <w:szCs w:val="24"/>
              </w:rPr>
            </w:pPr>
            <w:r>
              <w:rPr>
                <w:rFonts w:hint="eastAsia"/>
                <w:b/>
                <w:bCs/>
                <w:sz w:val="24"/>
                <w:szCs w:val="24"/>
              </w:rPr>
              <w:t>水土保持和生态修复。</w:t>
            </w:r>
            <w:r>
              <w:rPr>
                <w:rFonts w:hint="eastAsia"/>
                <w:sz w:val="24"/>
                <w:szCs w:val="24"/>
              </w:rPr>
              <w:t>重点实施淮河干、支流水土流失防治区的水土保持工程项目，实施南湾、泼河、五岳等水库上游地区水土保持工程，加大对矿山地质环境的整治力度。推进息县淮河国家湿地公园建设，支持商城、新县、罗山等建设国家重点生态保护示范区。</w:t>
            </w:r>
          </w:p>
        </w:tc>
      </w:tr>
      <w:bookmarkEnd w:id="136"/>
    </w:tbl>
    <w:p>
      <w:pPr>
        <w:pStyle w:val="2"/>
        <w:spacing w:before="0" w:after="0" w:line="620" w:lineRule="exact"/>
        <w:jc w:val="center"/>
      </w:pPr>
      <w:r>
        <w:rPr>
          <w:rFonts w:eastAsia="方正仿宋_GBK"/>
        </w:rPr>
        <w:br w:type="page"/>
      </w:r>
      <w:bookmarkStart w:id="174" w:name="_Toc1162"/>
      <w:r>
        <w:rPr>
          <w:rFonts w:hint="eastAsia"/>
        </w:rPr>
        <w:t>第五篇</w:t>
      </w:r>
      <w:r>
        <w:t xml:space="preserve">  </w:t>
      </w:r>
      <w:r>
        <w:rPr>
          <w:rFonts w:hint="eastAsia"/>
        </w:rPr>
        <w:t>大力实施开放发展</w:t>
      </w:r>
      <w:bookmarkEnd w:id="174"/>
    </w:p>
    <w:p>
      <w:pPr>
        <w:spacing w:line="620" w:lineRule="exact"/>
        <w:ind w:firstLine="632" w:firstLineChars="200"/>
      </w:pPr>
      <w:r>
        <w:rPr>
          <w:rFonts w:hint="eastAsia"/>
          <w:color w:val="000000"/>
        </w:rPr>
        <w:t>坚持实施开放带动主战略，</w:t>
      </w:r>
      <w:r>
        <w:rPr>
          <w:rFonts w:hint="eastAsia"/>
        </w:rPr>
        <w:t>积极融入国家对外开放和区域发展战略，链接“一带一路”和长江经济带对外开放通道，拓展对内对外开放的广度和深度，全面提升在产业链、信息链、物流链中的地位，</w:t>
      </w:r>
      <w:r>
        <w:rPr>
          <w:rFonts w:hint="eastAsia"/>
          <w:color w:val="000000"/>
        </w:rPr>
        <w:t>构建开放型经济新体制，形成全面开放新格局，</w:t>
      </w:r>
      <w:r>
        <w:rPr>
          <w:rFonts w:hint="eastAsia"/>
        </w:rPr>
        <w:t>发展更高层次的开放型经济。</w:t>
      </w:r>
      <w:bookmarkStart w:id="175" w:name="_Toc440730928"/>
    </w:p>
    <w:p>
      <w:pPr>
        <w:pStyle w:val="3"/>
        <w:spacing w:before="0" w:after="0" w:line="620" w:lineRule="exact"/>
        <w:jc w:val="center"/>
        <w:rPr>
          <w:rFonts w:ascii="Times New Roman" w:hAnsi="Times New Roman" w:eastAsia="方正楷体_GBK" w:cs="Times New Roman"/>
        </w:rPr>
      </w:pPr>
      <w:bookmarkStart w:id="176" w:name="_Toc1911"/>
      <w:bookmarkStart w:id="177" w:name="_Toc3668"/>
      <w:r>
        <w:rPr>
          <w:rFonts w:hint="eastAsia" w:ascii="Times New Roman" w:hAnsi="Times New Roman" w:eastAsia="方正楷体_GBK" w:cs="Times New Roman"/>
        </w:rPr>
        <w:t>第十八章</w:t>
      </w:r>
      <w:r>
        <w:rPr>
          <w:rFonts w:ascii="Times New Roman" w:hAnsi="Times New Roman" w:eastAsia="方正楷体_GBK" w:cs="Times New Roman"/>
        </w:rPr>
        <w:t xml:space="preserve">  </w:t>
      </w:r>
      <w:r>
        <w:rPr>
          <w:rFonts w:hint="eastAsia" w:ascii="Times New Roman" w:hAnsi="Times New Roman" w:eastAsia="方正楷体_GBK" w:cs="Times New Roman"/>
        </w:rPr>
        <w:t>全力构建“三大枢纽</w:t>
      </w:r>
      <w:bookmarkEnd w:id="175"/>
      <w:bookmarkEnd w:id="176"/>
      <w:r>
        <w:rPr>
          <w:rFonts w:hint="eastAsia" w:ascii="Times New Roman" w:hAnsi="Times New Roman" w:eastAsia="方正楷体_GBK" w:cs="Times New Roman"/>
        </w:rPr>
        <w:t>”</w:t>
      </w:r>
      <w:bookmarkEnd w:id="177"/>
    </w:p>
    <w:p>
      <w:pPr>
        <w:spacing w:line="620" w:lineRule="exact"/>
        <w:ind w:firstLine="632" w:firstLineChars="200"/>
      </w:pPr>
      <w:r>
        <w:rPr>
          <w:rFonts w:hint="eastAsia"/>
          <w:color w:val="000000"/>
        </w:rPr>
        <w:t>立足要素禀赋、产业结构和区位条件，发挥自身优势，全力构建全国有影响力的交通、信息和物流三大枢纽，推动客流、物流、资金流、信息流聚集辐射，拓展对外开放新空间。</w:t>
      </w:r>
    </w:p>
    <w:p>
      <w:pPr>
        <w:pStyle w:val="4"/>
        <w:spacing w:before="0" w:after="0" w:line="620" w:lineRule="exact"/>
        <w:jc w:val="center"/>
        <w:rPr>
          <w:rFonts w:eastAsia="方正仿宋_GBK"/>
        </w:rPr>
      </w:pPr>
      <w:bookmarkStart w:id="178" w:name="_Toc23224"/>
      <w:bookmarkStart w:id="179" w:name="_Toc4114"/>
      <w:bookmarkStart w:id="180" w:name="_Toc440730929"/>
      <w:r>
        <w:rPr>
          <w:rFonts w:hint="eastAsia" w:eastAsia="方正仿宋_GBK"/>
        </w:rPr>
        <w:t>第一节</w:t>
      </w:r>
      <w:r>
        <w:rPr>
          <w:rFonts w:eastAsia="方正仿宋_GBK"/>
        </w:rPr>
        <w:t xml:space="preserve">  </w:t>
      </w:r>
      <w:r>
        <w:rPr>
          <w:rFonts w:hint="eastAsia" w:eastAsia="方正仿宋_GBK"/>
        </w:rPr>
        <w:t>构建交通枢纽</w:t>
      </w:r>
      <w:bookmarkEnd w:id="178"/>
      <w:bookmarkEnd w:id="179"/>
      <w:bookmarkEnd w:id="180"/>
    </w:p>
    <w:p>
      <w:pPr>
        <w:spacing w:line="620" w:lineRule="exact"/>
        <w:ind w:firstLine="632" w:firstLineChars="200"/>
      </w:pPr>
      <w:r>
        <w:rPr>
          <w:rFonts w:hint="eastAsia"/>
        </w:rPr>
        <w:t>发挥两个十字交叉综合交通枢纽功能，打造“铁公机水”综合交通网络，将交通基础设施建设与城镇发展、产业布局以及公共服务紧密结合，注重发挥基础性、先导性作用。</w:t>
      </w:r>
    </w:p>
    <w:p>
      <w:pPr>
        <w:spacing w:line="620" w:lineRule="exact"/>
        <w:ind w:firstLine="634" w:firstLineChars="200"/>
      </w:pPr>
      <w:r>
        <w:rPr>
          <w:rFonts w:hint="eastAsia"/>
          <w:b/>
          <w:bCs/>
        </w:rPr>
        <w:t>强化综合交通枢纽建设。</w:t>
      </w:r>
      <w:r>
        <w:rPr>
          <w:rFonts w:hint="eastAsia"/>
        </w:rPr>
        <w:t>按照“零距离换乘、无缝化衔接”要求，加快铁路港、公路港、航空港、水运港建设，推进“四港”联动发展；建成明港机场枢纽，完善信阳站、信阳东站、明港站三大客运枢纽功能，大力发展铁水、公铁、公水、空陆等多式联运，打造覆盖鄂豫皖，辐射中部、联通全国的现代综合交通枢纽。大力发展公共交通，加快完善集疏运通道，推进多种运输方式便捷衔接，提升交通优势。</w:t>
      </w: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sz w:val="24"/>
                <w:szCs w:val="24"/>
              </w:rPr>
            </w:pPr>
            <w:r>
              <w:rPr>
                <w:rFonts w:hint="eastAsia" w:eastAsia="方正小标宋_GBK"/>
                <w:sz w:val="28"/>
                <w:szCs w:val="24"/>
              </w:rPr>
              <w:t>专栏</w:t>
            </w:r>
            <w:r>
              <w:rPr>
                <w:rFonts w:eastAsia="方正小标宋_GBK"/>
                <w:sz w:val="28"/>
                <w:szCs w:val="24"/>
              </w:rPr>
              <w:t>26</w:t>
            </w:r>
            <w:r>
              <w:rPr>
                <w:rFonts w:hint="eastAsia" w:eastAsia="方正小标宋_GBK"/>
                <w:sz w:val="28"/>
                <w:szCs w:val="24"/>
              </w:rPr>
              <w:t>：信阳综合交通枢纽重点推进项目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铁路枢纽。</w:t>
            </w:r>
            <w:r>
              <w:rPr>
                <w:rFonts w:hint="eastAsia"/>
                <w:sz w:val="24"/>
                <w:szCs w:val="24"/>
              </w:rPr>
              <w:t>将信阳东站打造成高铁枢纽站，建设信阳东站旅客集散换乘中心等配套工程，完成信阳老火车站及北广场改造，做好潢川开发区火车站、罗山、商城等县火车站改造及配套铁路货运服务园区、促进仓储配送、信息服务等方面的设施建设。</w:t>
            </w:r>
          </w:p>
          <w:p>
            <w:pPr>
              <w:spacing w:line="400" w:lineRule="exact"/>
              <w:ind w:firstLine="474" w:firstLineChars="200"/>
              <w:rPr>
                <w:sz w:val="24"/>
                <w:szCs w:val="24"/>
              </w:rPr>
            </w:pPr>
            <w:r>
              <w:rPr>
                <w:rFonts w:hint="eastAsia"/>
                <w:b/>
                <w:bCs/>
                <w:sz w:val="24"/>
                <w:szCs w:val="24"/>
              </w:rPr>
              <w:t>公路枢纽。</w:t>
            </w:r>
            <w:r>
              <w:rPr>
                <w:rFonts w:hint="eastAsia"/>
                <w:sz w:val="24"/>
                <w:szCs w:val="24"/>
              </w:rPr>
              <w:t>规划建设信阳客运北站、东站、南站和明港航空港客运站项目，建设一批公交枢纽站。</w:t>
            </w:r>
          </w:p>
          <w:p>
            <w:pPr>
              <w:spacing w:line="400" w:lineRule="exact"/>
              <w:ind w:firstLine="474" w:firstLineChars="200"/>
              <w:rPr>
                <w:sz w:val="24"/>
                <w:szCs w:val="24"/>
              </w:rPr>
            </w:pPr>
            <w:r>
              <w:rPr>
                <w:rFonts w:hint="eastAsia"/>
                <w:b/>
                <w:bCs/>
                <w:sz w:val="24"/>
                <w:szCs w:val="24"/>
              </w:rPr>
              <w:t>航空枢纽。</w:t>
            </w:r>
            <w:r>
              <w:rPr>
                <w:rFonts w:hint="eastAsia"/>
                <w:sz w:val="24"/>
                <w:szCs w:val="24"/>
              </w:rPr>
              <w:t>建成明港机场，规划建设航空物流园等配套项目。</w:t>
            </w:r>
          </w:p>
          <w:p>
            <w:pPr>
              <w:spacing w:line="400" w:lineRule="exact"/>
              <w:ind w:firstLine="474" w:firstLineChars="200"/>
              <w:rPr>
                <w:sz w:val="24"/>
                <w:szCs w:val="24"/>
              </w:rPr>
            </w:pPr>
            <w:r>
              <w:rPr>
                <w:rFonts w:hint="eastAsia"/>
                <w:b/>
                <w:bCs/>
                <w:sz w:val="24"/>
                <w:szCs w:val="24"/>
              </w:rPr>
              <w:t>水运枢纽。</w:t>
            </w:r>
            <w:r>
              <w:rPr>
                <w:rFonts w:hint="eastAsia"/>
                <w:sz w:val="24"/>
                <w:szCs w:val="24"/>
              </w:rPr>
              <w:t>建成淮河淮滨港货运枢纽及配套设施。</w:t>
            </w:r>
          </w:p>
        </w:tc>
      </w:tr>
    </w:tbl>
    <w:p>
      <w:pPr>
        <w:spacing w:line="580" w:lineRule="exact"/>
        <w:ind w:firstLine="634" w:firstLineChars="200"/>
      </w:pPr>
      <w:r>
        <w:rPr>
          <w:rFonts w:hint="eastAsia"/>
          <w:b/>
          <w:bCs/>
        </w:rPr>
        <w:t>构建现代综合交通网络。</w:t>
      </w:r>
      <w:r>
        <w:rPr>
          <w:rFonts w:hint="eastAsia"/>
        </w:rPr>
        <w:t>积极谋划重大铁路项目，加强与六安、南阳、随州、襄阳、安康等地市的联系与沟通，重点研究规划信阳往东、西南、西北方向高速铁路。全面改善市域范围内干线公路和农村公路，加强国、省干线公路建设，普通国省干线公路全部达到二级及以上标准，市县之间实现国省道连接；干线公路优良路率保持在</w:t>
      </w:r>
      <w:r>
        <w:t>85%</w:t>
      </w:r>
      <w:r>
        <w:rPr>
          <w:rFonts w:hint="eastAsia"/>
        </w:rPr>
        <w:t>以上，中桥及以上桥梁技术状况均保持在三类（含）以上。继续加大农村公路建设投入，全面实施农村公路畅通安全工程，提升农村公路整体水平和服务能力，到“十三五”末，二级及以上干线公路比重达到</w:t>
      </w:r>
      <w:r>
        <w:t>80%</w:t>
      </w:r>
      <w:r>
        <w:rPr>
          <w:rFonts w:hint="eastAsia"/>
        </w:rPr>
        <w:t>以上，县道中等级公路比例达到</w:t>
      </w:r>
      <w:r>
        <w:t>100%</w:t>
      </w:r>
      <w:r>
        <w:rPr>
          <w:rFonts w:hint="eastAsia"/>
        </w:rPr>
        <w:t>，乡道中等级公路比例达到</w:t>
      </w:r>
      <w:r>
        <w:t>95%</w:t>
      </w:r>
      <w:r>
        <w:rPr>
          <w:rFonts w:hint="eastAsia"/>
        </w:rPr>
        <w:t>以上。进一步提高农村公路的通达深度和县乡公路的网络化水平，加强县乡道危桥改造，逐步实现“乡联县畅、路通桥畅”，争取实现农村公路铺装率达到</w:t>
      </w:r>
      <w:r>
        <w:t>65%</w:t>
      </w:r>
      <w:r>
        <w:rPr>
          <w:rFonts w:hint="eastAsia"/>
        </w:rPr>
        <w:t>以上，等级公路达到</w:t>
      </w:r>
      <w:r>
        <w:t>75%</w:t>
      </w:r>
      <w:r>
        <w:rPr>
          <w:rFonts w:hint="eastAsia"/>
        </w:rPr>
        <w:t>左右，农村公路里程数达到</w:t>
      </w:r>
      <w:r>
        <w:t>20200</w:t>
      </w:r>
      <w:r>
        <w:rPr>
          <w:rFonts w:hint="eastAsia"/>
        </w:rPr>
        <w:t>公里左右。有序推进支线机场建设，支持发展通用机场，大力发展农业作业、飞行培训、抢险救灾、航空运动等通用航空产业，加强与文化旅游、商贸物流等产业的整合。推进淮河河道治理及航运开发工程，实现淮河水运“通江达海”。加强邮政基础设施建设，提升邮政普遍服务能力。</w:t>
      </w:r>
    </w:p>
    <w:tbl>
      <w:tblPr>
        <w:tblStyle w:val="7"/>
        <w:tblW w:w="8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sz w:val="24"/>
                <w:szCs w:val="24"/>
              </w:rPr>
            </w:pPr>
            <w:r>
              <w:rPr>
                <w:rFonts w:hint="eastAsia" w:eastAsia="方正小标宋_GBK"/>
                <w:sz w:val="28"/>
                <w:szCs w:val="24"/>
              </w:rPr>
              <w:t>专栏</w:t>
            </w:r>
            <w:r>
              <w:rPr>
                <w:rFonts w:eastAsia="方正小标宋_GBK"/>
                <w:sz w:val="28"/>
                <w:szCs w:val="24"/>
              </w:rPr>
              <w:t>27</w:t>
            </w:r>
            <w:r>
              <w:rPr>
                <w:rFonts w:hint="eastAsia" w:eastAsia="方正小标宋_GBK"/>
                <w:sz w:val="28"/>
                <w:szCs w:val="24"/>
              </w:rPr>
              <w:t>：现代综合交通网络重点推进项目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8"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铁路。</w:t>
            </w:r>
            <w:r>
              <w:rPr>
                <w:rFonts w:hint="eastAsia"/>
                <w:sz w:val="24"/>
                <w:szCs w:val="24"/>
              </w:rPr>
              <w:t>积极推进宁西客专信阳段。建设阜阳经潢川至九江高铁信阳段。加快推进濮阳至潢川铁路信阳段建设。做好宜昌至徐州快速铁路信阳段前期工作。对接协调武汉铁路局，争取设立信阳动车所，恢复京广铁路鸡公山客运站。</w:t>
            </w:r>
          </w:p>
          <w:p>
            <w:pPr>
              <w:spacing w:line="400" w:lineRule="exact"/>
              <w:ind w:firstLine="474" w:firstLineChars="200"/>
              <w:rPr>
                <w:sz w:val="24"/>
                <w:szCs w:val="24"/>
              </w:rPr>
            </w:pPr>
            <w:r>
              <w:rPr>
                <w:rFonts w:hint="eastAsia"/>
                <w:b/>
                <w:bCs/>
                <w:sz w:val="24"/>
                <w:szCs w:val="24"/>
              </w:rPr>
              <w:t>公路。</w:t>
            </w:r>
            <w:r>
              <w:rPr>
                <w:rFonts w:hint="eastAsia"/>
                <w:sz w:val="24"/>
                <w:szCs w:val="24"/>
              </w:rPr>
              <w:t>建成息县</w:t>
            </w:r>
            <w:r>
              <w:rPr>
                <w:sz w:val="24"/>
                <w:szCs w:val="24"/>
              </w:rPr>
              <w:t>-</w:t>
            </w:r>
            <w:r>
              <w:rPr>
                <w:rFonts w:hint="eastAsia"/>
                <w:sz w:val="24"/>
                <w:szCs w:val="24"/>
              </w:rPr>
              <w:t>邢集高速公路，规划建设环城高速、明港至鸡公山高速、随州至谭家河至鸡公山至新县至商城高速、淮滨至阜阳（豫皖界）高速、郑州至武汉（二线）高速信阳段、河南濮阳至湖北阳新高速商城段、大别山旅游快速通道、羊山新区至罗山县城快速通道、京港澳鸡公山站至鸡公山景区快速通道等工程。规划研究内黄（豫冀界）</w:t>
            </w:r>
            <w:r>
              <w:rPr>
                <w:sz w:val="24"/>
                <w:szCs w:val="24"/>
              </w:rPr>
              <w:t>-</w:t>
            </w:r>
            <w:r>
              <w:rPr>
                <w:rFonts w:hint="eastAsia"/>
                <w:sz w:val="24"/>
                <w:szCs w:val="24"/>
              </w:rPr>
              <w:t>罗山（豫鄂界）高速公路、沿大别山高速公路、许昌</w:t>
            </w:r>
            <w:r>
              <w:rPr>
                <w:sz w:val="24"/>
                <w:szCs w:val="24"/>
              </w:rPr>
              <w:t>-</w:t>
            </w:r>
            <w:r>
              <w:rPr>
                <w:rFonts w:hint="eastAsia"/>
                <w:sz w:val="24"/>
                <w:szCs w:val="24"/>
              </w:rPr>
              <w:t>刑集高速公路等。加快国省道干线公路升级改造，实施</w:t>
            </w:r>
            <w:r>
              <w:rPr>
                <w:sz w:val="24"/>
                <w:szCs w:val="24"/>
              </w:rPr>
              <w:t>G107</w:t>
            </w:r>
            <w:r>
              <w:rPr>
                <w:rFonts w:hint="eastAsia"/>
                <w:sz w:val="24"/>
                <w:szCs w:val="24"/>
              </w:rPr>
              <w:t>和</w:t>
            </w:r>
            <w:r>
              <w:rPr>
                <w:sz w:val="24"/>
                <w:szCs w:val="24"/>
              </w:rPr>
              <w:t>G312</w:t>
            </w:r>
            <w:r>
              <w:rPr>
                <w:rFonts w:hint="eastAsia"/>
                <w:sz w:val="24"/>
                <w:szCs w:val="24"/>
              </w:rPr>
              <w:t>市区段改线工程、新增</w:t>
            </w:r>
            <w:r>
              <w:rPr>
                <w:sz w:val="24"/>
                <w:szCs w:val="24"/>
              </w:rPr>
              <w:t>G220</w:t>
            </w:r>
            <w:r>
              <w:rPr>
                <w:rFonts w:hint="eastAsia"/>
                <w:sz w:val="24"/>
                <w:szCs w:val="24"/>
              </w:rPr>
              <w:t>（原</w:t>
            </w:r>
            <w:r>
              <w:rPr>
                <w:sz w:val="24"/>
                <w:szCs w:val="24"/>
              </w:rPr>
              <w:t>S216</w:t>
            </w:r>
            <w:r>
              <w:rPr>
                <w:rFonts w:hint="eastAsia"/>
                <w:sz w:val="24"/>
                <w:szCs w:val="24"/>
              </w:rPr>
              <w:t>线）商城县城至长竹园段改造工程、</w:t>
            </w:r>
            <w:r>
              <w:rPr>
                <w:sz w:val="24"/>
                <w:szCs w:val="24"/>
              </w:rPr>
              <w:t>G328</w:t>
            </w:r>
            <w:r>
              <w:rPr>
                <w:rFonts w:hint="eastAsia"/>
                <w:sz w:val="24"/>
                <w:szCs w:val="24"/>
              </w:rPr>
              <w:t>和</w:t>
            </w:r>
            <w:r>
              <w:rPr>
                <w:sz w:val="24"/>
                <w:szCs w:val="24"/>
              </w:rPr>
              <w:t>G230</w:t>
            </w:r>
            <w:r>
              <w:rPr>
                <w:rFonts w:hint="eastAsia"/>
                <w:sz w:val="24"/>
                <w:szCs w:val="24"/>
              </w:rPr>
              <w:t>普通国道升级改造、</w:t>
            </w:r>
            <w:r>
              <w:rPr>
                <w:sz w:val="24"/>
                <w:szCs w:val="24"/>
              </w:rPr>
              <w:t>S224</w:t>
            </w:r>
            <w:r>
              <w:rPr>
                <w:rFonts w:hint="eastAsia"/>
                <w:sz w:val="24"/>
                <w:szCs w:val="24"/>
              </w:rPr>
              <w:t>改造等一批重点工程。完成一批快速通道、县乡级公路、旅游景区道路、客货站等项目建设。</w:t>
            </w:r>
            <w:r>
              <w:rPr>
                <w:sz w:val="24"/>
                <w:szCs w:val="24"/>
              </w:rPr>
              <w:t xml:space="preserve">     </w:t>
            </w:r>
          </w:p>
          <w:p>
            <w:pPr>
              <w:spacing w:line="400" w:lineRule="exact"/>
              <w:ind w:firstLine="474" w:firstLineChars="200"/>
              <w:rPr>
                <w:sz w:val="24"/>
                <w:szCs w:val="24"/>
              </w:rPr>
            </w:pPr>
            <w:r>
              <w:rPr>
                <w:rFonts w:hint="eastAsia"/>
                <w:b/>
                <w:bCs/>
                <w:sz w:val="24"/>
                <w:szCs w:val="24"/>
              </w:rPr>
              <w:t>航空。</w:t>
            </w:r>
            <w:r>
              <w:rPr>
                <w:rFonts w:hint="eastAsia"/>
                <w:sz w:val="24"/>
                <w:szCs w:val="24"/>
              </w:rPr>
              <w:t>建成明港机场，适时启动潢川机场前期工作，支持商城、息县、新县、罗山、光山、淮滨等申报建设通用机场项目。</w:t>
            </w:r>
          </w:p>
          <w:p>
            <w:pPr>
              <w:spacing w:line="400" w:lineRule="exact"/>
              <w:ind w:firstLine="474" w:firstLineChars="200"/>
              <w:rPr>
                <w:sz w:val="24"/>
                <w:szCs w:val="24"/>
              </w:rPr>
            </w:pPr>
            <w:r>
              <w:rPr>
                <w:rFonts w:hint="eastAsia"/>
                <w:b/>
                <w:bCs/>
                <w:sz w:val="24"/>
                <w:szCs w:val="24"/>
              </w:rPr>
              <w:t>水路。</w:t>
            </w:r>
            <w:r>
              <w:rPr>
                <w:rFonts w:hint="eastAsia"/>
                <w:sz w:val="24"/>
                <w:szCs w:val="24"/>
              </w:rPr>
              <w:t>推动沿淮河向上游方向的航运基础设施建设，完成淮滨至息县淮河航运工程淮滨段</w:t>
            </w:r>
            <w:r>
              <w:rPr>
                <w:sz w:val="24"/>
                <w:szCs w:val="24"/>
              </w:rPr>
              <w:t>48</w:t>
            </w:r>
            <w:r>
              <w:rPr>
                <w:rFonts w:hint="eastAsia"/>
                <w:sz w:val="24"/>
                <w:szCs w:val="24"/>
              </w:rPr>
              <w:t>公里航道治理工程，加快推进息县段</w:t>
            </w:r>
            <w:r>
              <w:rPr>
                <w:sz w:val="24"/>
                <w:szCs w:val="24"/>
              </w:rPr>
              <w:t>50</w:t>
            </w:r>
            <w:r>
              <w:rPr>
                <w:rFonts w:hint="eastAsia"/>
                <w:sz w:val="24"/>
                <w:szCs w:val="24"/>
              </w:rPr>
              <w:t>公里航道治理工程，建设淮滨港公铁水一体化码头及配套设施，水运总里程达到</w:t>
            </w:r>
            <w:r>
              <w:rPr>
                <w:sz w:val="24"/>
                <w:szCs w:val="24"/>
              </w:rPr>
              <w:t>371</w:t>
            </w:r>
            <w:r>
              <w:rPr>
                <w:rFonts w:hint="eastAsia"/>
                <w:sz w:val="24"/>
                <w:szCs w:val="24"/>
              </w:rPr>
              <w:t>公里，高等级航道总里程达</w:t>
            </w:r>
            <w:r>
              <w:rPr>
                <w:sz w:val="24"/>
                <w:szCs w:val="24"/>
              </w:rPr>
              <w:t>124</w:t>
            </w:r>
            <w:r>
              <w:rPr>
                <w:rFonts w:hint="eastAsia"/>
                <w:sz w:val="24"/>
                <w:szCs w:val="24"/>
              </w:rPr>
              <w:t>公里。煤炭、粮食、建材等专业化码头合理布局基本形成。</w:t>
            </w:r>
          </w:p>
        </w:tc>
      </w:tr>
    </w:tbl>
    <w:p>
      <w:pPr>
        <w:autoSpaceDE w:val="0"/>
        <w:autoSpaceDN w:val="0"/>
        <w:adjustRightInd w:val="0"/>
        <w:snapToGrid w:val="0"/>
        <w:spacing w:line="580" w:lineRule="exact"/>
        <w:ind w:firstLine="634" w:firstLineChars="200"/>
        <w:rPr>
          <w:b/>
          <w:bCs/>
          <w:color w:val="000000"/>
        </w:rPr>
      </w:pPr>
      <w:bookmarkStart w:id="181" w:name="_Toc3873"/>
      <w:bookmarkStart w:id="182" w:name="_Toc440730930"/>
      <w:r>
        <w:rPr>
          <w:rFonts w:hint="eastAsia"/>
          <w:b/>
          <w:bCs/>
          <w:color w:val="000000"/>
        </w:rPr>
        <w:t>全面提升交通管理和服务水平。</w:t>
      </w:r>
      <w:r>
        <w:rPr>
          <w:rFonts w:hint="eastAsia"/>
          <w:color w:val="000000"/>
        </w:rPr>
        <w:t>加快智能交通发展，推动运输资源在线集成，加强跨地域、跨类型交通信息互联互通。推行客运“一票式”和货运“一单制”联程服务，构建多方式可选、多层次融合、全过程连贯的一体化客运换乘体系，推进公众出行服务、货运与物流服务现代化。深化交通投融资等体制机制改革，加快普通干线公路建管养一体化改革，探索建立顺畅高效的综合交通运输管理协调机制。强化交通运输安全管理，提升安全保障、应急处置和救援能力。</w:t>
      </w:r>
    </w:p>
    <w:p>
      <w:pPr>
        <w:pStyle w:val="4"/>
        <w:spacing w:before="0" w:after="0" w:line="580" w:lineRule="exact"/>
        <w:jc w:val="center"/>
        <w:rPr>
          <w:rFonts w:eastAsia="方正仿宋_GBK"/>
        </w:rPr>
      </w:pPr>
      <w:bookmarkStart w:id="183" w:name="_Toc14453"/>
      <w:r>
        <w:rPr>
          <w:rFonts w:hint="eastAsia" w:eastAsia="方正仿宋_GBK"/>
        </w:rPr>
        <w:t>第二节</w:t>
      </w:r>
      <w:r>
        <w:rPr>
          <w:rFonts w:eastAsia="方正仿宋_GBK"/>
        </w:rPr>
        <w:t xml:space="preserve">  </w:t>
      </w:r>
      <w:r>
        <w:rPr>
          <w:rFonts w:hint="eastAsia" w:eastAsia="方正仿宋_GBK"/>
        </w:rPr>
        <w:t>构建信息枢纽</w:t>
      </w:r>
      <w:bookmarkEnd w:id="181"/>
      <w:bookmarkEnd w:id="182"/>
      <w:bookmarkEnd w:id="183"/>
    </w:p>
    <w:p>
      <w:pPr>
        <w:autoSpaceDE w:val="0"/>
        <w:autoSpaceDN w:val="0"/>
        <w:adjustRightInd w:val="0"/>
        <w:spacing w:line="580" w:lineRule="exact"/>
        <w:ind w:firstLine="632" w:firstLineChars="200"/>
        <w:rPr>
          <w:b/>
          <w:bCs/>
          <w:color w:val="000000"/>
        </w:rPr>
      </w:pPr>
      <w:r>
        <w:rPr>
          <w:rFonts w:hint="eastAsia"/>
          <w:color w:val="000000"/>
        </w:rPr>
        <w:t>坚持把加快信息化建设作为一项重要的基础工程优先发展，推动信息化与经济社会发展深度融合，积极建设数字城市。</w:t>
      </w:r>
    </w:p>
    <w:p>
      <w:pPr>
        <w:autoSpaceDE w:val="0"/>
        <w:autoSpaceDN w:val="0"/>
        <w:adjustRightInd w:val="0"/>
        <w:spacing w:line="580" w:lineRule="exact"/>
        <w:ind w:firstLine="634" w:firstLineChars="200"/>
      </w:pPr>
      <w:r>
        <w:rPr>
          <w:rFonts w:hint="eastAsia"/>
          <w:b/>
          <w:bCs/>
          <w:color w:val="000000"/>
        </w:rPr>
        <w:t>强化信息网络基础支撑。</w:t>
      </w:r>
      <w:r>
        <w:rPr>
          <w:rFonts w:hint="eastAsia"/>
          <w:color w:val="000000"/>
        </w:rPr>
        <w:t>加快构建宽带、融合、安全、泛在的新一代信息基础设施。全面推进“宽带中原”战略，加快宽带电信网、下一代互联网和下一代广播电视网“三网融合”建设步伐。重点推进北斗地基增强系统、北斗导航综合服务平台建设，构建安全、精准、实时、开放、智能的空间信息基础设施。积极参与国家互联网骨干架构优化调整，提升我市区域通信能力，打造国内一流的现代信息通信枢纽。鼓励企业充分利用市内公共云计算资源，建设企业数据中心，支持电信企业开展与政府和企业的合作，建设信阳大数据计算中心。</w:t>
      </w:r>
      <w:r>
        <w:rPr>
          <w:color w:val="000000"/>
        </w:rPr>
        <w:br w:type="textWrapping"/>
      </w:r>
      <w:r>
        <w:rPr>
          <w:color w:val="000000"/>
        </w:rPr>
        <w:t xml:space="preserve">    </w:t>
      </w:r>
      <w:r>
        <w:rPr>
          <w:rFonts w:hint="eastAsia"/>
          <w:b/>
          <w:bCs/>
          <w:color w:val="000000"/>
        </w:rPr>
        <w:t>强化应用服务基础支撑。</w:t>
      </w:r>
      <w:r>
        <w:rPr>
          <w:rFonts w:hint="eastAsia"/>
          <w:color w:val="000000"/>
        </w:rPr>
        <w:t>以产业集聚区、服务业“两区”、现代农业示范园区等为依托，构建智慧园区服务平台。大力推进公共云和行业云服务，引导行业信息化应用向云计算平台迁移。加强信息安全保障。</w:t>
      </w:r>
      <w:r>
        <w:rPr>
          <w:color w:val="000000"/>
        </w:rPr>
        <w:br w:type="textWrapping"/>
      </w:r>
      <w:r>
        <w:rPr>
          <w:color w:val="000000"/>
        </w:rPr>
        <w:t xml:space="preserve">    </w:t>
      </w:r>
      <w:r>
        <w:rPr>
          <w:rFonts w:hint="eastAsia"/>
          <w:b/>
          <w:bCs/>
          <w:color w:val="000000"/>
        </w:rPr>
        <w:t>强化创新驱动基础支撑。</w:t>
      </w:r>
      <w:r>
        <w:rPr>
          <w:rFonts w:hint="eastAsia"/>
          <w:color w:val="000000"/>
        </w:rPr>
        <w:t>推动信息关键技术研发和产业化。鼓励互联网企业参与市产业技术创新战略联盟</w:t>
      </w:r>
      <w:r>
        <w:rPr>
          <w:rStyle w:val="8"/>
        </w:rPr>
        <w:footnoteReference w:id="29"/>
      </w:r>
      <w:r>
        <w:rPr>
          <w:rFonts w:hint="eastAsia"/>
          <w:color w:val="000000"/>
        </w:rPr>
        <w:t>建设，提升相关产业融合水平。培育一批高水平创新平台，促进创新资源开放共享。鼓励互联网融合应用企业开展专利权质押融资，加强知识产权创造、运用、保护和管理。大力发展开源社区，鼓励企业自主研发和政府资金支持形成的软件成果利用互联网向社会开源。</w:t>
      </w:r>
      <w:r>
        <w:rPr>
          <w:color w:val="000000"/>
        </w:rPr>
        <w:br w:type="textWrapping"/>
      </w:r>
      <w:r>
        <w:rPr>
          <w:color w:val="000000"/>
        </w:rPr>
        <w:t xml:space="preserve">    </w:t>
      </w:r>
      <w:r>
        <w:rPr>
          <w:rFonts w:hint="eastAsia"/>
          <w:b/>
          <w:bCs/>
          <w:color w:val="000000"/>
        </w:rPr>
        <w:t>强化人才智力基础支撑。</w:t>
      </w:r>
      <w:r>
        <w:rPr>
          <w:rFonts w:hint="eastAsia"/>
          <w:color w:val="000000"/>
        </w:rPr>
        <w:t>不断提升各级干部特别是领导干部推进信息化行动的能力和水平。加大制造业、农业等领域人才特别是企业高层管理人员的互联网培训。加快复合型人才培养，打造一支素质优良、专兼结合的互联网教师队伍，加大产学研联合培训和加快高端人才引进。</w:t>
      </w:r>
      <w:r>
        <w:rPr>
          <w:color w:val="000000"/>
        </w:rPr>
        <w:br w:type="textWrapping"/>
      </w:r>
      <w:r>
        <w:rPr>
          <w:color w:val="000000"/>
        </w:rPr>
        <w:t xml:space="preserve">    </w:t>
      </w:r>
      <w:r>
        <w:rPr>
          <w:rFonts w:hint="eastAsia"/>
          <w:b/>
          <w:bCs/>
          <w:color w:val="000000"/>
        </w:rPr>
        <w:t>完善开放合作发展机制。</w:t>
      </w:r>
      <w:r>
        <w:rPr>
          <w:rFonts w:hint="eastAsia"/>
          <w:color w:val="000000"/>
        </w:rPr>
        <w:t>引进培育龙头企业，谋划中国移动、中国联通、中国电信等通信巨头在我市商城县、新县等地质稳定、环境适宜的地方建设区域性的大数据中心、云计算中心或容灾备份中心等大型信息工程。大力引进互联网企业，对设立区域性总部、功能性机构、研发中心、服务中心等给予一定的奖励支持。推动重点领域开放合作，支持优势企业与有条件的地区、企业开展试点示范合作，形成多元化智慧应用竞争格局。强化链式引进、集群引进，建设一批总部型、基地型项目，辐射带动一批配套企业集聚发展，高起点打造一批互联网产业集群。</w:t>
      </w:r>
    </w:p>
    <w:tbl>
      <w:tblPr>
        <w:tblStyle w:val="7"/>
        <w:tblW w:w="8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eastAsia="方正小标宋_GBK"/>
                <w:sz w:val="28"/>
                <w:szCs w:val="24"/>
              </w:rPr>
              <w:t>专栏</w:t>
            </w:r>
            <w:r>
              <w:rPr>
                <w:rFonts w:eastAsia="方正小标宋_GBK"/>
                <w:sz w:val="28"/>
                <w:szCs w:val="24"/>
              </w:rPr>
              <w:t>28</w:t>
            </w:r>
            <w:r>
              <w:rPr>
                <w:rFonts w:hint="eastAsia" w:eastAsia="方正小标宋_GBK"/>
                <w:sz w:val="28"/>
                <w:szCs w:val="24"/>
              </w:rPr>
              <w:t>：信息网络系统建设重点工程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8"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移动通信基础设施建设项目。</w:t>
            </w:r>
            <w:r>
              <w:rPr>
                <w:sz w:val="24"/>
                <w:szCs w:val="24"/>
              </w:rPr>
              <w:t>2016-2017</w:t>
            </w:r>
            <w:r>
              <w:rPr>
                <w:rFonts w:hint="eastAsia"/>
                <w:sz w:val="24"/>
                <w:szCs w:val="24"/>
              </w:rPr>
              <w:t>年，统筹考虑全市移动通信基站站址、基站机房、基站机房前管线等移动通信基础设施建设需求，实现市区、县城、乡镇、交通干线、重要景区、行政村及自然村等区域</w:t>
            </w:r>
            <w:r>
              <w:rPr>
                <w:sz w:val="24"/>
                <w:szCs w:val="24"/>
              </w:rPr>
              <w:t>4G</w:t>
            </w:r>
            <w:r>
              <w:rPr>
                <w:rFonts w:hint="eastAsia"/>
                <w:sz w:val="24"/>
                <w:szCs w:val="24"/>
              </w:rPr>
              <w:t>网络全面覆盖，初步建成下一代国家信息通信基础网络设施。</w:t>
            </w:r>
            <w:r>
              <w:rPr>
                <w:sz w:val="24"/>
                <w:szCs w:val="24"/>
              </w:rPr>
              <w:t>2018—2020</w:t>
            </w:r>
            <w:r>
              <w:rPr>
                <w:rFonts w:hint="eastAsia"/>
                <w:sz w:val="24"/>
                <w:szCs w:val="24"/>
              </w:rPr>
              <w:t>年，满足现有城区深度覆盖补点及新建城区</w:t>
            </w:r>
            <w:r>
              <w:rPr>
                <w:sz w:val="24"/>
                <w:szCs w:val="24"/>
              </w:rPr>
              <w:t>4G</w:t>
            </w:r>
            <w:r>
              <w:rPr>
                <w:rFonts w:hint="eastAsia"/>
                <w:sz w:val="24"/>
                <w:szCs w:val="24"/>
              </w:rPr>
              <w:t>需求，实现全市</w:t>
            </w:r>
            <w:r>
              <w:rPr>
                <w:sz w:val="24"/>
                <w:szCs w:val="24"/>
              </w:rPr>
              <w:t>4G</w:t>
            </w:r>
            <w:r>
              <w:rPr>
                <w:rFonts w:hint="eastAsia"/>
                <w:sz w:val="24"/>
                <w:szCs w:val="24"/>
              </w:rPr>
              <w:t>无线</w:t>
            </w:r>
            <w:r>
              <w:rPr>
                <w:sz w:val="24"/>
                <w:szCs w:val="24"/>
              </w:rPr>
              <w:t>WIFI</w:t>
            </w:r>
            <w:r>
              <w:rPr>
                <w:rFonts w:hint="eastAsia"/>
                <w:sz w:val="24"/>
                <w:szCs w:val="24"/>
              </w:rPr>
              <w:t>无缝覆盖；适度考虑部署</w:t>
            </w:r>
            <w:r>
              <w:rPr>
                <w:sz w:val="24"/>
                <w:szCs w:val="24"/>
              </w:rPr>
              <w:t>5G</w:t>
            </w:r>
            <w:r>
              <w:rPr>
                <w:rStyle w:val="8"/>
              </w:rPr>
              <w:footnoteReference w:id="30"/>
            </w:r>
            <w:r>
              <w:rPr>
                <w:rFonts w:hint="eastAsia"/>
                <w:sz w:val="24"/>
                <w:szCs w:val="24"/>
              </w:rPr>
              <w:t>网络；基本实现省内领先、国内先进的通信网络基础设施服务水平。</w:t>
            </w:r>
          </w:p>
          <w:p>
            <w:pPr>
              <w:spacing w:line="400" w:lineRule="exact"/>
              <w:ind w:firstLine="474" w:firstLineChars="200"/>
              <w:rPr>
                <w:sz w:val="24"/>
                <w:szCs w:val="24"/>
              </w:rPr>
            </w:pPr>
            <w:r>
              <w:rPr>
                <w:rFonts w:hint="eastAsia"/>
                <w:b/>
                <w:bCs/>
                <w:sz w:val="24"/>
                <w:szCs w:val="24"/>
              </w:rPr>
              <w:t>宽带网络普及提速工程。</w:t>
            </w:r>
            <w:r>
              <w:rPr>
                <w:rFonts w:hint="eastAsia"/>
                <w:sz w:val="24"/>
                <w:szCs w:val="24"/>
              </w:rPr>
              <w:t>推进</w:t>
            </w:r>
            <w:r>
              <w:rPr>
                <w:sz w:val="24"/>
                <w:szCs w:val="24"/>
              </w:rPr>
              <w:t>4G</w:t>
            </w:r>
            <w:r>
              <w:rPr>
                <w:rFonts w:hint="eastAsia"/>
                <w:sz w:val="24"/>
                <w:szCs w:val="24"/>
              </w:rPr>
              <w:t>网络和主要公共场所</w:t>
            </w:r>
            <w:r>
              <w:rPr>
                <w:sz w:val="24"/>
                <w:szCs w:val="24"/>
              </w:rPr>
              <w:t>WLAN</w:t>
            </w:r>
            <w:r>
              <w:rPr>
                <w:rFonts w:hint="eastAsia"/>
                <w:sz w:val="24"/>
                <w:szCs w:val="24"/>
              </w:rPr>
              <w:t>全覆盖，积极争取</w:t>
            </w:r>
            <w:r>
              <w:rPr>
                <w:sz w:val="24"/>
                <w:szCs w:val="24"/>
              </w:rPr>
              <w:t>5G</w:t>
            </w:r>
            <w:r>
              <w:rPr>
                <w:rFonts w:hint="eastAsia"/>
                <w:sz w:val="24"/>
                <w:szCs w:val="24"/>
              </w:rPr>
              <w:t>网络试商用，实施城市百兆光纤、乡镇基础网络完善、宽带乡村等重大建设项目。</w:t>
            </w:r>
          </w:p>
          <w:p>
            <w:pPr>
              <w:spacing w:line="400" w:lineRule="exact"/>
              <w:ind w:firstLine="474" w:firstLineChars="200"/>
              <w:rPr>
                <w:sz w:val="24"/>
                <w:szCs w:val="24"/>
              </w:rPr>
            </w:pPr>
            <w:r>
              <w:rPr>
                <w:rFonts w:hint="eastAsia"/>
                <w:b/>
                <w:bCs/>
                <w:sz w:val="24"/>
                <w:szCs w:val="24"/>
              </w:rPr>
              <w:t>通信枢纽建设工程。</w:t>
            </w:r>
            <w:r>
              <w:rPr>
                <w:rFonts w:hint="eastAsia"/>
                <w:sz w:val="24"/>
                <w:szCs w:val="24"/>
              </w:rPr>
              <w:t>重点推动区域互联网交换中心建设，加快扩充网络中心节点和云计算数据中心所在区域宽带资源，适度超前建设高速大容量光通信传输系统。</w:t>
            </w:r>
          </w:p>
          <w:p>
            <w:pPr>
              <w:spacing w:line="400" w:lineRule="exact"/>
              <w:ind w:firstLine="474" w:firstLineChars="200"/>
              <w:rPr>
                <w:sz w:val="24"/>
                <w:szCs w:val="24"/>
              </w:rPr>
            </w:pPr>
            <w:r>
              <w:rPr>
                <w:rFonts w:hint="eastAsia"/>
                <w:b/>
                <w:bCs/>
                <w:sz w:val="24"/>
                <w:szCs w:val="24"/>
              </w:rPr>
              <w:t>三网融合加速工程。</w:t>
            </w:r>
            <w:r>
              <w:rPr>
                <w:rFonts w:hint="eastAsia"/>
                <w:sz w:val="24"/>
                <w:szCs w:val="24"/>
              </w:rPr>
              <w:t>推进广电、电信业务双向进入，加快推动</w:t>
            </w:r>
            <w:r>
              <w:rPr>
                <w:sz w:val="24"/>
                <w:szCs w:val="24"/>
              </w:rPr>
              <w:t>IPTV</w:t>
            </w:r>
            <w:r>
              <w:rPr>
                <w:rFonts w:hint="eastAsia"/>
                <w:sz w:val="24"/>
                <w:szCs w:val="24"/>
              </w:rPr>
              <w:t>传输系统对接，构建与电信网络互联互通、开放架构、具备综合业务承载能力的下一代广播电视网。</w:t>
            </w:r>
          </w:p>
          <w:p>
            <w:pPr>
              <w:spacing w:line="400" w:lineRule="exact"/>
              <w:ind w:firstLine="474" w:firstLineChars="200"/>
              <w:rPr>
                <w:sz w:val="24"/>
                <w:szCs w:val="24"/>
              </w:rPr>
            </w:pPr>
            <w:r>
              <w:rPr>
                <w:rFonts w:hint="eastAsia"/>
                <w:b/>
                <w:bCs/>
                <w:sz w:val="24"/>
                <w:szCs w:val="24"/>
              </w:rPr>
              <w:t>基础服务平台拓展工程。</w:t>
            </w:r>
            <w:r>
              <w:rPr>
                <w:rFonts w:hint="eastAsia"/>
                <w:sz w:val="24"/>
                <w:szCs w:val="24"/>
              </w:rPr>
              <w:t>集约布局一批公共服务、互联网应用服务、重点行业和大型企业云计算数据中心。积极部署北斗导航服务平台、卫星导航地面基准站等空间信息基础设施。</w:t>
            </w:r>
          </w:p>
          <w:p>
            <w:pPr>
              <w:spacing w:line="400" w:lineRule="exact"/>
              <w:ind w:firstLine="474" w:firstLineChars="200"/>
              <w:rPr>
                <w:sz w:val="24"/>
                <w:szCs w:val="24"/>
              </w:rPr>
            </w:pPr>
            <w:r>
              <w:rPr>
                <w:rFonts w:hint="eastAsia"/>
                <w:b/>
                <w:bCs/>
                <w:sz w:val="24"/>
                <w:szCs w:val="24"/>
              </w:rPr>
              <w:t>信息安全发展工程。</w:t>
            </w:r>
            <w:r>
              <w:rPr>
                <w:rFonts w:hint="eastAsia"/>
                <w:sz w:val="24"/>
                <w:szCs w:val="24"/>
              </w:rPr>
              <w:t>加快移动信息安全服务云平台、信息安全系统软件测试中心、信息安全产业基地等建设，推动云计算大数据安全保障体系建设。</w:t>
            </w:r>
          </w:p>
        </w:tc>
      </w:tr>
    </w:tbl>
    <w:p>
      <w:pPr>
        <w:pStyle w:val="4"/>
        <w:spacing w:before="0" w:after="0" w:line="580" w:lineRule="exact"/>
        <w:jc w:val="center"/>
        <w:rPr>
          <w:rFonts w:eastAsia="方正仿宋_GBK"/>
        </w:rPr>
      </w:pPr>
      <w:bookmarkStart w:id="184" w:name="_Toc440730931"/>
      <w:bookmarkStart w:id="185" w:name="_Toc8900"/>
      <w:bookmarkStart w:id="186" w:name="_Toc5619"/>
      <w:r>
        <w:rPr>
          <w:rFonts w:hint="eastAsia" w:eastAsia="方正仿宋_GBK"/>
        </w:rPr>
        <w:t>第三节</w:t>
      </w:r>
      <w:r>
        <w:rPr>
          <w:rFonts w:eastAsia="方正仿宋_GBK"/>
        </w:rPr>
        <w:t xml:space="preserve">  </w:t>
      </w:r>
      <w:r>
        <w:rPr>
          <w:rFonts w:hint="eastAsia" w:eastAsia="方正仿宋_GBK"/>
        </w:rPr>
        <w:t>构建物流枢纽</w:t>
      </w:r>
      <w:bookmarkEnd w:id="184"/>
      <w:bookmarkEnd w:id="185"/>
      <w:bookmarkEnd w:id="186"/>
    </w:p>
    <w:p>
      <w:pPr>
        <w:autoSpaceDE w:val="0"/>
        <w:autoSpaceDN w:val="0"/>
        <w:adjustRightInd w:val="0"/>
        <w:spacing w:line="580" w:lineRule="exact"/>
        <w:ind w:firstLine="632" w:firstLineChars="200"/>
        <w:rPr>
          <w:color w:val="000000"/>
        </w:rPr>
      </w:pPr>
      <w:r>
        <w:rPr>
          <w:rFonts w:hint="eastAsia"/>
          <w:color w:val="000000"/>
        </w:rPr>
        <w:t>以交通和信息枢纽为支撑，依托信阳特色产业资源、区位和综合交通优势，</w:t>
      </w:r>
      <w:r>
        <w:rPr>
          <w:rFonts w:hint="eastAsia"/>
          <w:color w:val="000000"/>
          <w:lang w:val="zh-CN"/>
        </w:rPr>
        <w:t>持续推进出版物物流和医药物流发展，稳步推进区域性电商物流和生活消费品区域分拨中心物流，借助明港机场项目建设契机，探索发展空港快件物流，加速推进信阳铁路快件物流项目，稳步推进农产品及冷链物流和区域商贸物流项目。</w:t>
      </w:r>
      <w:r>
        <w:rPr>
          <w:rFonts w:hint="eastAsia"/>
          <w:color w:val="000000"/>
        </w:rPr>
        <w:t>建成鄂豫皖区域性电商物流中心、冷链物流中心以及家居、小商品行业物流组织与服务中心，把信阳打造成为辐射全国的物流枢纽城市。</w:t>
      </w:r>
    </w:p>
    <w:p>
      <w:pPr>
        <w:autoSpaceDE w:val="0"/>
        <w:autoSpaceDN w:val="0"/>
        <w:adjustRightInd w:val="0"/>
        <w:spacing w:line="580" w:lineRule="exact"/>
        <w:ind w:firstLine="634" w:firstLineChars="200"/>
        <w:rPr>
          <w:color w:val="000000"/>
          <w:lang w:val="zh-CN"/>
        </w:rPr>
      </w:pPr>
      <w:r>
        <w:rPr>
          <w:rFonts w:hint="eastAsia"/>
          <w:b/>
          <w:bCs/>
          <w:color w:val="000000"/>
          <w:lang w:val="zh-CN"/>
        </w:rPr>
        <w:t>空间布局。</w:t>
      </w:r>
      <w:r>
        <w:rPr>
          <w:rFonts w:hint="eastAsia"/>
          <w:color w:val="000000"/>
          <w:lang w:val="zh-CN"/>
        </w:rPr>
        <w:t>形成“双核驱动、轴带（三轴两带）联动、多点互动”的总体空间布局。</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color w:val="000000"/>
                <w:sz w:val="24"/>
                <w:szCs w:val="24"/>
                <w:lang w:val="zh-CN"/>
              </w:rPr>
            </w:pPr>
            <w:r>
              <w:rPr>
                <w:rFonts w:hint="eastAsia" w:eastAsia="方正小标宋_GBK"/>
                <w:sz w:val="28"/>
                <w:szCs w:val="24"/>
              </w:rPr>
              <w:t>专栏</w:t>
            </w:r>
            <w:r>
              <w:rPr>
                <w:rFonts w:eastAsia="方正小标宋_GBK"/>
                <w:sz w:val="28"/>
                <w:szCs w:val="24"/>
              </w:rPr>
              <w:t>29</w:t>
            </w:r>
            <w:r>
              <w:rPr>
                <w:rFonts w:hint="eastAsia" w:eastAsia="方正小标宋_GBK"/>
                <w:sz w:val="28"/>
                <w:szCs w:val="24"/>
              </w:rPr>
              <w:t>：物流枢纽空间布局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sz w:val="24"/>
                <w:szCs w:val="24"/>
                <w:lang w:val="zh-CN"/>
              </w:rPr>
            </w:pPr>
            <w:r>
              <w:rPr>
                <w:b/>
                <w:bCs/>
                <w:sz w:val="24"/>
                <w:szCs w:val="24"/>
              </w:rPr>
              <w:t xml:space="preserve">    </w:t>
            </w:r>
            <w:r>
              <w:rPr>
                <w:rFonts w:hint="eastAsia"/>
                <w:b/>
                <w:bCs/>
                <w:sz w:val="24"/>
                <w:szCs w:val="24"/>
                <w:lang w:val="zh-CN"/>
              </w:rPr>
              <w:t>“双核”：</w:t>
            </w:r>
            <w:r>
              <w:rPr>
                <w:rFonts w:hint="eastAsia"/>
                <w:sz w:val="24"/>
                <w:szCs w:val="24"/>
                <w:lang w:val="zh-CN"/>
              </w:rPr>
              <w:t>信阳市区中心、潢川县次中心。</w:t>
            </w:r>
            <w:r>
              <w:rPr>
                <w:rFonts w:hint="eastAsia"/>
                <w:b/>
                <w:bCs/>
                <w:sz w:val="24"/>
                <w:szCs w:val="24"/>
                <w:lang w:val="zh-CN"/>
              </w:rPr>
              <w:t>“轴带”：</w:t>
            </w:r>
            <w:r>
              <w:rPr>
                <w:rFonts w:hint="eastAsia"/>
                <w:sz w:val="24"/>
                <w:szCs w:val="24"/>
                <w:lang w:val="zh-CN"/>
              </w:rPr>
              <w:t>以沿京港澳高速、大广高速、沪陕高速沿线为三大发展轴，以金牛</w:t>
            </w:r>
            <w:r>
              <w:rPr>
                <w:sz w:val="24"/>
                <w:szCs w:val="24"/>
                <w:lang w:val="zh-CN"/>
              </w:rPr>
              <w:t>—</w:t>
            </w:r>
            <w:r>
              <w:rPr>
                <w:rFonts w:hint="eastAsia"/>
                <w:sz w:val="24"/>
                <w:szCs w:val="24"/>
                <w:lang w:val="zh-CN"/>
              </w:rPr>
              <w:t>明港、宁西铁路沿线为两大发展带，在高速公路出入口、铁路站场、机场、港口等区域布局若干物流园区，高标准规划建设仓储设施。</w:t>
            </w:r>
            <w:r>
              <w:rPr>
                <w:rFonts w:hint="eastAsia"/>
                <w:b/>
                <w:bCs/>
                <w:sz w:val="24"/>
                <w:szCs w:val="24"/>
                <w:lang w:val="zh-CN"/>
              </w:rPr>
              <w:t>“多点”：</w:t>
            </w:r>
            <w:r>
              <w:rPr>
                <w:rFonts w:hint="eastAsia"/>
                <w:sz w:val="24"/>
                <w:szCs w:val="24"/>
                <w:lang w:val="zh-CN"/>
              </w:rPr>
              <w:t>根据功能定位不同，将物流节点按物流产业聚集区、物流园区、配送中心、末端节点四级进行布局，突出各节点差异化发展和节点间互联互通。</w:t>
            </w:r>
            <w:r>
              <w:rPr>
                <w:b/>
                <w:bCs/>
                <w:sz w:val="24"/>
                <w:szCs w:val="24"/>
              </w:rPr>
              <w:t xml:space="preserve">                                                                                                                                                                                                                                                                                                                                    </w:t>
            </w:r>
          </w:p>
        </w:tc>
      </w:tr>
    </w:tbl>
    <w:p>
      <w:pPr>
        <w:spacing w:line="580" w:lineRule="exact"/>
        <w:ind w:firstLine="634" w:firstLineChars="200"/>
        <w:rPr>
          <w:color w:val="000000"/>
          <w:lang w:val="zh-CN"/>
        </w:rPr>
      </w:pPr>
      <w:r>
        <w:rPr>
          <w:rFonts w:hint="eastAsia"/>
          <w:b/>
          <w:bCs/>
          <w:color w:val="000000"/>
          <w:lang w:val="zh-CN"/>
        </w:rPr>
        <w:t>建设物流节点。</w:t>
      </w:r>
      <w:r>
        <w:rPr>
          <w:rFonts w:hint="eastAsia"/>
          <w:color w:val="000000"/>
          <w:lang w:val="zh-CN"/>
        </w:rPr>
        <w:t>按物流产业集聚区、物流园区、配送中心、末端节点四个层次，布局形成定位明确、特色鲜明、优势互补的物流节点网络。</w:t>
      </w:r>
      <w:r>
        <w:rPr>
          <w:rFonts w:hint="eastAsia"/>
        </w:rPr>
        <w:t>完善城乡物流配送体系，建设“城际</w:t>
      </w:r>
      <w:r>
        <w:t>-</w:t>
      </w:r>
      <w:r>
        <w:rPr>
          <w:rFonts w:hint="eastAsia"/>
        </w:rPr>
        <w:t>城市</w:t>
      </w:r>
      <w:r>
        <w:t>-</w:t>
      </w:r>
      <w:r>
        <w:rPr>
          <w:rFonts w:hint="eastAsia"/>
        </w:rPr>
        <w:t>城乡”三级配送节点体系。完善分拨转运、仓储配送、信息服务、流通加工等功能，提高供应链管理服务水平。积极发展电子商务等新业态模式，加快发展商贸业，建成区域货物集散中心，形成以商贸带动物流、以物流集聚产业的发展格局。</w:t>
      </w:r>
    </w:p>
    <w:tbl>
      <w:tblPr>
        <w:tblStyle w:val="7"/>
        <w:tblW w:w="831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2"/>
        <w:gridCol w:w="3155"/>
        <w:gridCol w:w="1476"/>
        <w:gridCol w:w="1275"/>
        <w:gridCol w:w="16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9" w:hRule="atLeast"/>
          <w:jc w:val="center"/>
        </w:trPr>
        <w:tc>
          <w:tcPr>
            <w:tcW w:w="8314" w:type="dxa"/>
            <w:gridSpan w:val="5"/>
            <w:vAlign w:val="center"/>
          </w:tcPr>
          <w:p>
            <w:pPr>
              <w:spacing w:line="400" w:lineRule="exact"/>
              <w:jc w:val="center"/>
              <w:rPr>
                <w:kern w:val="0"/>
                <w:sz w:val="24"/>
                <w:szCs w:val="24"/>
                <w:lang w:val="zh-CN"/>
              </w:rPr>
            </w:pPr>
            <w:r>
              <w:rPr>
                <w:rFonts w:hint="eastAsia" w:eastAsia="方正小标宋_GBK"/>
                <w:sz w:val="28"/>
                <w:szCs w:val="24"/>
              </w:rPr>
              <w:t>专栏</w:t>
            </w:r>
            <w:r>
              <w:rPr>
                <w:rFonts w:eastAsia="方正小标宋_GBK"/>
                <w:sz w:val="28"/>
                <w:szCs w:val="24"/>
              </w:rPr>
              <w:t>30</w:t>
            </w:r>
            <w:r>
              <w:rPr>
                <w:rFonts w:hint="eastAsia" w:eastAsia="方正小标宋_GBK"/>
                <w:sz w:val="28"/>
                <w:szCs w:val="24"/>
              </w:rPr>
              <w:t>：四级物流节点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jc w:val="center"/>
        </w:trPr>
        <w:tc>
          <w:tcPr>
            <w:tcW w:w="3877" w:type="dxa"/>
            <w:gridSpan w:val="2"/>
            <w:vAlign w:val="center"/>
          </w:tcPr>
          <w:p>
            <w:pPr>
              <w:autoSpaceDE w:val="0"/>
              <w:autoSpaceDN w:val="0"/>
              <w:adjustRightInd w:val="0"/>
              <w:spacing w:line="400" w:lineRule="exact"/>
              <w:ind w:firstLine="420"/>
              <w:jc w:val="center"/>
              <w:rPr>
                <w:kern w:val="0"/>
                <w:sz w:val="24"/>
                <w:szCs w:val="24"/>
                <w:lang w:val="zh-CN"/>
              </w:rPr>
            </w:pPr>
            <w:r>
              <w:rPr>
                <w:rFonts w:hint="eastAsia"/>
                <w:b/>
                <w:bCs/>
                <w:kern w:val="0"/>
                <w:sz w:val="24"/>
                <w:szCs w:val="24"/>
                <w:lang w:val="zh-CN"/>
              </w:rPr>
              <w:t>物流节点</w:t>
            </w:r>
          </w:p>
        </w:tc>
        <w:tc>
          <w:tcPr>
            <w:tcW w:w="1476" w:type="dxa"/>
            <w:vAlign w:val="center"/>
          </w:tcPr>
          <w:p>
            <w:pPr>
              <w:autoSpaceDE w:val="0"/>
              <w:autoSpaceDN w:val="0"/>
              <w:adjustRightInd w:val="0"/>
              <w:spacing w:line="400" w:lineRule="exact"/>
              <w:rPr>
                <w:kern w:val="0"/>
                <w:sz w:val="24"/>
                <w:szCs w:val="24"/>
                <w:lang w:val="zh-CN"/>
              </w:rPr>
            </w:pPr>
            <w:r>
              <w:rPr>
                <w:rFonts w:hint="eastAsia"/>
                <w:b/>
                <w:bCs/>
                <w:kern w:val="0"/>
                <w:sz w:val="24"/>
                <w:szCs w:val="24"/>
                <w:lang w:val="zh-CN"/>
              </w:rPr>
              <w:t>交通条件</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b/>
                <w:bCs/>
                <w:kern w:val="0"/>
                <w:sz w:val="24"/>
                <w:szCs w:val="24"/>
                <w:lang w:val="zh-CN"/>
              </w:rPr>
              <w:t>功能</w:t>
            </w:r>
          </w:p>
        </w:tc>
        <w:tc>
          <w:tcPr>
            <w:tcW w:w="1686" w:type="dxa"/>
            <w:vAlign w:val="center"/>
          </w:tcPr>
          <w:p>
            <w:pPr>
              <w:autoSpaceDE w:val="0"/>
              <w:autoSpaceDN w:val="0"/>
              <w:adjustRightInd w:val="0"/>
              <w:spacing w:line="400" w:lineRule="exact"/>
              <w:ind w:firstLine="420"/>
              <w:rPr>
                <w:kern w:val="0"/>
                <w:sz w:val="24"/>
                <w:szCs w:val="24"/>
                <w:lang w:val="zh-CN"/>
              </w:rPr>
            </w:pPr>
            <w:r>
              <w:rPr>
                <w:rFonts w:hint="eastAsia"/>
                <w:b/>
                <w:bCs/>
                <w:kern w:val="0"/>
                <w:sz w:val="24"/>
                <w:szCs w:val="24"/>
                <w:lang w:val="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jc w:val="center"/>
        </w:trPr>
        <w:tc>
          <w:tcPr>
            <w:tcW w:w="722" w:type="dxa"/>
            <w:vMerge w:val="restart"/>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一级节点</w:t>
            </w: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金牛物流产业集聚区</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公、铁</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整合与新建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潢川物流产业集聚区</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公、铁</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整合与新建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restart"/>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二级节点</w:t>
            </w: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信阳空港物流园</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公、铁、空</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淮滨港物流园</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公、铁、水</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羊山物流中心</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公路</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专业型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信阳工业城物流中心</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公路</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专业型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上天梯物流中心</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公路</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专业型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3" w:hRule="atLeast"/>
          <w:jc w:val="center"/>
        </w:trPr>
        <w:tc>
          <w:tcPr>
            <w:tcW w:w="722" w:type="dxa"/>
            <w:vMerge w:val="continue"/>
            <w:vAlign w:val="center"/>
          </w:tcPr>
          <w:p>
            <w:pPr>
              <w:autoSpaceDE w:val="0"/>
              <w:autoSpaceDN w:val="0"/>
              <w:adjustRightInd w:val="0"/>
              <w:spacing w:line="400" w:lineRule="exact"/>
              <w:rPr>
                <w:kern w:val="0"/>
                <w:sz w:val="24"/>
                <w:szCs w:val="24"/>
                <w:lang w:val="zh-CN"/>
              </w:rPr>
            </w:pP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各县区产业集聚区物流园</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公、铁</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整合与新建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4" w:hRule="atLeast"/>
          <w:jc w:val="center"/>
        </w:trPr>
        <w:tc>
          <w:tcPr>
            <w:tcW w:w="722"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三级节点</w:t>
            </w: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各县区配送中心</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公路</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整合与新建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722"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四级节点</w:t>
            </w:r>
          </w:p>
        </w:tc>
        <w:tc>
          <w:tcPr>
            <w:tcW w:w="3155"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各县区乡镇末端节点</w:t>
            </w:r>
          </w:p>
        </w:tc>
        <w:tc>
          <w:tcPr>
            <w:tcW w:w="147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公路</w:t>
            </w:r>
          </w:p>
        </w:tc>
        <w:tc>
          <w:tcPr>
            <w:tcW w:w="1275" w:type="dxa"/>
            <w:vAlign w:val="center"/>
          </w:tcPr>
          <w:p>
            <w:pPr>
              <w:autoSpaceDE w:val="0"/>
              <w:autoSpaceDN w:val="0"/>
              <w:adjustRightInd w:val="0"/>
              <w:spacing w:line="400" w:lineRule="exact"/>
              <w:jc w:val="center"/>
              <w:rPr>
                <w:kern w:val="0"/>
                <w:sz w:val="24"/>
                <w:szCs w:val="24"/>
                <w:lang w:val="zh-CN"/>
              </w:rPr>
            </w:pPr>
            <w:r>
              <w:rPr>
                <w:rFonts w:hint="eastAsia"/>
                <w:kern w:val="0"/>
                <w:sz w:val="24"/>
                <w:szCs w:val="24"/>
                <w:lang w:val="zh-CN"/>
              </w:rPr>
              <w:t>综合型</w:t>
            </w:r>
          </w:p>
        </w:tc>
        <w:tc>
          <w:tcPr>
            <w:tcW w:w="1686" w:type="dxa"/>
            <w:vAlign w:val="center"/>
          </w:tcPr>
          <w:p>
            <w:pPr>
              <w:autoSpaceDE w:val="0"/>
              <w:autoSpaceDN w:val="0"/>
              <w:adjustRightInd w:val="0"/>
              <w:spacing w:line="400" w:lineRule="exact"/>
              <w:rPr>
                <w:kern w:val="0"/>
                <w:sz w:val="24"/>
                <w:szCs w:val="24"/>
                <w:lang w:val="zh-CN"/>
              </w:rPr>
            </w:pPr>
            <w:r>
              <w:rPr>
                <w:rFonts w:hint="eastAsia"/>
                <w:kern w:val="0"/>
                <w:sz w:val="24"/>
                <w:szCs w:val="24"/>
                <w:lang w:val="zh-CN"/>
              </w:rPr>
              <w:t>整合与新建</w:t>
            </w:r>
          </w:p>
        </w:tc>
      </w:tr>
    </w:tbl>
    <w:p>
      <w:pPr>
        <w:spacing w:line="580" w:lineRule="exact"/>
        <w:ind w:firstLine="634" w:firstLineChars="200"/>
        <w:rPr>
          <w:color w:val="000000"/>
          <w:lang w:val="zh-CN"/>
        </w:rPr>
      </w:pPr>
      <w:r>
        <w:rPr>
          <w:rFonts w:hint="eastAsia"/>
          <w:b/>
          <w:bCs/>
          <w:color w:val="000000"/>
          <w:lang w:val="zh-CN"/>
        </w:rPr>
        <w:t>发展多式联运。</w:t>
      </w:r>
      <w:r>
        <w:rPr>
          <w:rFonts w:hint="eastAsia"/>
          <w:color w:val="000000"/>
          <w:lang w:val="zh-CN"/>
        </w:rPr>
        <w:t>注重“公路、铁路、航空、水运”之间的便捷高效衔接，</w:t>
      </w:r>
      <w:r>
        <w:rPr>
          <w:rFonts w:hint="eastAsia"/>
        </w:rPr>
        <w:t>重点提升多式联运物流功能，协同推进产业集聚和城市功能完善，打造多式联运创新示范区，增强区域影响力和带动力。</w:t>
      </w:r>
    </w:p>
    <w:tbl>
      <w:tblPr>
        <w:tblStyle w:val="7"/>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color w:val="000000"/>
                <w:sz w:val="24"/>
                <w:szCs w:val="24"/>
                <w:lang w:val="zh-CN"/>
              </w:rPr>
            </w:pPr>
            <w:r>
              <w:rPr>
                <w:rFonts w:hint="eastAsia" w:eastAsia="方正小标宋_GBK"/>
                <w:sz w:val="28"/>
                <w:szCs w:val="24"/>
              </w:rPr>
              <w:t>专栏</w:t>
            </w:r>
            <w:r>
              <w:rPr>
                <w:rFonts w:eastAsia="方正小标宋_GBK"/>
                <w:sz w:val="28"/>
                <w:szCs w:val="24"/>
              </w:rPr>
              <w:t>31</w:t>
            </w:r>
            <w:r>
              <w:rPr>
                <w:rFonts w:hint="eastAsia" w:eastAsia="方正小标宋_GBK"/>
                <w:sz w:val="28"/>
                <w:szCs w:val="24"/>
              </w:rPr>
              <w:t>：物流运输重点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74" w:firstLineChars="200"/>
              <w:rPr>
                <w:sz w:val="24"/>
                <w:szCs w:val="24"/>
                <w:lang w:val="zh-CN"/>
              </w:rPr>
            </w:pPr>
            <w:r>
              <w:rPr>
                <w:rFonts w:hint="eastAsia"/>
                <w:b/>
                <w:bCs/>
                <w:sz w:val="24"/>
                <w:szCs w:val="24"/>
                <w:lang w:val="zh-CN"/>
              </w:rPr>
              <w:t>公路物流。</w:t>
            </w:r>
            <w:r>
              <w:rPr>
                <w:rFonts w:hint="eastAsia"/>
                <w:sz w:val="24"/>
                <w:szCs w:val="24"/>
                <w:lang w:val="zh-CN"/>
              </w:rPr>
              <w:t>充分发挥农业资源优势，建设一批包含产地预冷库、区域冷库、流通中转冷库、分拨配送库、零售网点冷柜到消费终端冷藏自提柜的全程冷链设施，大力发展冷链物流。</w:t>
            </w:r>
          </w:p>
          <w:p>
            <w:pPr>
              <w:autoSpaceDE w:val="0"/>
              <w:autoSpaceDN w:val="0"/>
              <w:adjustRightInd w:val="0"/>
              <w:spacing w:line="400" w:lineRule="exact"/>
              <w:ind w:firstLine="474" w:firstLineChars="200"/>
              <w:rPr>
                <w:sz w:val="24"/>
                <w:szCs w:val="24"/>
                <w:lang w:val="zh-CN"/>
              </w:rPr>
            </w:pPr>
            <w:r>
              <w:rPr>
                <w:rFonts w:hint="eastAsia"/>
                <w:b/>
                <w:bCs/>
                <w:sz w:val="24"/>
                <w:szCs w:val="24"/>
                <w:lang w:val="zh-CN"/>
              </w:rPr>
              <w:t>铁路物流。</w:t>
            </w:r>
            <w:r>
              <w:rPr>
                <w:rFonts w:hint="eastAsia"/>
                <w:sz w:val="24"/>
                <w:szCs w:val="24"/>
              </w:rPr>
              <w:t>积极对接郑欧班列</w:t>
            </w:r>
            <w:r>
              <w:rPr>
                <w:rStyle w:val="8"/>
              </w:rPr>
              <w:footnoteReference w:id="31"/>
            </w:r>
            <w:r>
              <w:rPr>
                <w:rFonts w:hint="eastAsia"/>
                <w:sz w:val="24"/>
                <w:szCs w:val="24"/>
              </w:rPr>
              <w:t>，认真谋划信欧班列。</w:t>
            </w:r>
            <w:r>
              <w:rPr>
                <w:rFonts w:hint="eastAsia"/>
                <w:sz w:val="24"/>
                <w:szCs w:val="24"/>
                <w:lang w:val="zh-CN"/>
              </w:rPr>
              <w:t>依托京广高铁以及规划的京九高铁、宁西高铁、郑武城际铁路，积极推进本地高铁快递业务发展，吸引周边未开通高铁城市的快递物流从信阳集散。</w:t>
            </w:r>
          </w:p>
          <w:p>
            <w:pPr>
              <w:autoSpaceDE w:val="0"/>
              <w:autoSpaceDN w:val="0"/>
              <w:adjustRightInd w:val="0"/>
              <w:spacing w:line="400" w:lineRule="exact"/>
              <w:ind w:firstLine="474" w:firstLineChars="200"/>
              <w:rPr>
                <w:sz w:val="24"/>
                <w:szCs w:val="24"/>
                <w:lang w:val="zh-CN"/>
              </w:rPr>
            </w:pPr>
            <w:r>
              <w:rPr>
                <w:rFonts w:hint="eastAsia"/>
                <w:b/>
                <w:bCs/>
                <w:sz w:val="24"/>
                <w:szCs w:val="24"/>
                <w:lang w:val="zh-CN"/>
              </w:rPr>
              <w:t>航空物流。</w:t>
            </w:r>
            <w:r>
              <w:rPr>
                <w:rFonts w:hint="eastAsia"/>
                <w:sz w:val="24"/>
                <w:szCs w:val="24"/>
                <w:lang w:val="zh-CN"/>
              </w:rPr>
              <w:t>承接电子信息产品、高端花卉与奶制品航线。</w:t>
            </w:r>
          </w:p>
          <w:p>
            <w:pPr>
              <w:spacing w:line="400" w:lineRule="exact"/>
              <w:rPr>
                <w:color w:val="000000"/>
                <w:sz w:val="24"/>
                <w:szCs w:val="24"/>
                <w:lang w:val="zh-CN"/>
              </w:rPr>
            </w:pPr>
            <w:r>
              <w:rPr>
                <w:b/>
                <w:bCs/>
                <w:sz w:val="24"/>
                <w:szCs w:val="24"/>
              </w:rPr>
              <w:t xml:space="preserve">    </w:t>
            </w:r>
            <w:r>
              <w:rPr>
                <w:rFonts w:hint="eastAsia"/>
                <w:b/>
                <w:bCs/>
                <w:sz w:val="24"/>
                <w:szCs w:val="24"/>
                <w:lang w:val="zh-CN"/>
              </w:rPr>
              <w:t>水运物流。</w:t>
            </w:r>
            <w:r>
              <w:rPr>
                <w:rFonts w:hint="eastAsia"/>
                <w:sz w:val="24"/>
                <w:szCs w:val="24"/>
                <w:lang w:val="zh-CN"/>
              </w:rPr>
              <w:t>木材、建材、农产品等大宗物资。</w:t>
            </w:r>
          </w:p>
        </w:tc>
      </w:tr>
    </w:tbl>
    <w:p>
      <w:pPr>
        <w:spacing w:line="580" w:lineRule="exact"/>
        <w:rPr>
          <w:color w:val="000000"/>
          <w:lang w:val="zh-CN"/>
        </w:rPr>
      </w:pPr>
      <w:r>
        <w:rPr>
          <w:b/>
          <w:bCs/>
          <w:color w:val="000000"/>
        </w:rPr>
        <w:t xml:space="preserve">    </w:t>
      </w:r>
      <w:r>
        <w:rPr>
          <w:rFonts w:hint="eastAsia"/>
          <w:b/>
          <w:bCs/>
          <w:color w:val="000000"/>
          <w:lang w:val="zh-CN"/>
        </w:rPr>
        <w:t>建设物流信息平台。</w:t>
      </w:r>
      <w:r>
        <w:rPr>
          <w:rFonts w:hint="eastAsia"/>
          <w:color w:val="000000"/>
          <w:lang w:val="zh-CN"/>
        </w:rPr>
        <w:t>整合公路、铁路、航空、水路多种运输资源，与海关、财政、税务、商贸、金融、工商、商检等领域的信息管理系统相衔接，与产品生产、运输、销售等环节信息流相配套，实施一批信息平台重点建设工程。</w:t>
      </w:r>
    </w:p>
    <w:tbl>
      <w:tblPr>
        <w:tblStyle w:val="7"/>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5"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color w:val="000000"/>
                <w:sz w:val="24"/>
                <w:szCs w:val="24"/>
                <w:lang w:val="zh-CN"/>
              </w:rPr>
            </w:pPr>
            <w:r>
              <w:rPr>
                <w:rFonts w:hint="eastAsia" w:eastAsia="方正小标宋_GBK"/>
                <w:sz w:val="28"/>
                <w:szCs w:val="24"/>
              </w:rPr>
              <w:t>专栏</w:t>
            </w:r>
            <w:r>
              <w:rPr>
                <w:rFonts w:eastAsia="方正小标宋_GBK"/>
                <w:sz w:val="28"/>
                <w:szCs w:val="24"/>
              </w:rPr>
              <w:t>32</w:t>
            </w:r>
            <w:r>
              <w:rPr>
                <w:rFonts w:hint="eastAsia" w:eastAsia="方正小标宋_GBK"/>
                <w:sz w:val="28"/>
                <w:szCs w:val="24"/>
              </w:rPr>
              <w:t>：信息平台重点建设工程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74" w:firstLineChars="200"/>
              <w:rPr>
                <w:sz w:val="24"/>
                <w:szCs w:val="24"/>
                <w:lang w:val="zh-CN"/>
              </w:rPr>
            </w:pPr>
            <w:r>
              <w:rPr>
                <w:rFonts w:hint="eastAsia"/>
                <w:b/>
                <w:bCs/>
                <w:sz w:val="24"/>
                <w:szCs w:val="24"/>
                <w:lang w:val="zh-CN"/>
              </w:rPr>
              <w:t>物流运输集成平台。</w:t>
            </w:r>
            <w:r>
              <w:rPr>
                <w:rFonts w:hint="eastAsia"/>
                <w:sz w:val="24"/>
                <w:szCs w:val="24"/>
                <w:lang w:val="zh-CN"/>
              </w:rPr>
              <w:t>以车货配载、运输协作、设施设备周转等为重点，开发公路、铁路、水路、航空一体化的物流运输集成平台，支撑多种运输方式的多式联运和无缝对接，提高物流运行效率。</w:t>
            </w:r>
          </w:p>
          <w:p>
            <w:pPr>
              <w:autoSpaceDE w:val="0"/>
              <w:autoSpaceDN w:val="0"/>
              <w:adjustRightInd w:val="0"/>
              <w:spacing w:line="400" w:lineRule="exact"/>
              <w:ind w:firstLine="474" w:firstLineChars="200"/>
              <w:rPr>
                <w:sz w:val="24"/>
                <w:szCs w:val="24"/>
                <w:lang w:val="zh-CN"/>
              </w:rPr>
            </w:pPr>
            <w:r>
              <w:rPr>
                <w:rFonts w:hint="eastAsia"/>
                <w:b/>
                <w:bCs/>
                <w:sz w:val="24"/>
                <w:szCs w:val="24"/>
                <w:lang w:val="zh-CN"/>
              </w:rPr>
              <w:t>电商物流云平台。</w:t>
            </w:r>
            <w:r>
              <w:rPr>
                <w:rFonts w:hint="eastAsia"/>
                <w:sz w:val="24"/>
                <w:szCs w:val="24"/>
                <w:lang w:val="zh-CN"/>
              </w:rPr>
              <w:t>建设电商物流服务平台、电商支付服务体系、电商信用服务体系。</w:t>
            </w:r>
          </w:p>
          <w:p>
            <w:pPr>
              <w:autoSpaceDE w:val="0"/>
              <w:autoSpaceDN w:val="0"/>
              <w:adjustRightInd w:val="0"/>
              <w:spacing w:line="400" w:lineRule="exact"/>
              <w:ind w:firstLine="474" w:firstLineChars="200"/>
              <w:rPr>
                <w:sz w:val="24"/>
                <w:szCs w:val="24"/>
                <w:lang w:val="zh-CN"/>
              </w:rPr>
            </w:pPr>
            <w:r>
              <w:rPr>
                <w:rFonts w:hint="eastAsia"/>
                <w:b/>
                <w:bCs/>
                <w:sz w:val="24"/>
                <w:szCs w:val="24"/>
                <w:lang w:val="zh-CN"/>
              </w:rPr>
              <w:t>农产品物流信息平台。</w:t>
            </w:r>
            <w:r>
              <w:rPr>
                <w:rFonts w:hint="eastAsia"/>
                <w:sz w:val="24"/>
                <w:szCs w:val="24"/>
                <w:lang w:val="zh-CN"/>
              </w:rPr>
              <w:t>建设果蔬交易系统、茶叶交易信息平台、特色禽肉及水产品交易平台，支持信阳国际茶城建设国家级农产品交易中心。</w:t>
            </w:r>
          </w:p>
          <w:p>
            <w:pPr>
              <w:autoSpaceDE w:val="0"/>
              <w:autoSpaceDN w:val="0"/>
              <w:adjustRightInd w:val="0"/>
              <w:spacing w:line="400" w:lineRule="exact"/>
              <w:ind w:firstLine="474" w:firstLineChars="200"/>
              <w:rPr>
                <w:sz w:val="24"/>
                <w:szCs w:val="24"/>
                <w:lang w:val="zh-CN"/>
              </w:rPr>
            </w:pPr>
            <w:r>
              <w:rPr>
                <w:rFonts w:hint="eastAsia"/>
                <w:b/>
                <w:bCs/>
                <w:sz w:val="24"/>
                <w:szCs w:val="24"/>
                <w:lang w:val="zh-CN"/>
              </w:rPr>
              <w:t>商贸流通信息平台。</w:t>
            </w:r>
            <w:r>
              <w:rPr>
                <w:rFonts w:hint="eastAsia"/>
                <w:sz w:val="24"/>
                <w:szCs w:val="24"/>
                <w:lang w:val="zh-CN"/>
              </w:rPr>
              <w:t>建设日常消费品信息平台、家具信息平台。</w:t>
            </w:r>
          </w:p>
          <w:p>
            <w:pPr>
              <w:autoSpaceDE w:val="0"/>
              <w:autoSpaceDN w:val="0"/>
              <w:adjustRightInd w:val="0"/>
              <w:spacing w:line="400" w:lineRule="exact"/>
              <w:ind w:firstLine="474" w:firstLineChars="200"/>
              <w:rPr>
                <w:kern w:val="0"/>
                <w:sz w:val="24"/>
                <w:szCs w:val="24"/>
                <w:lang w:val="zh-CN"/>
              </w:rPr>
            </w:pPr>
            <w:r>
              <w:rPr>
                <w:rFonts w:hint="eastAsia"/>
                <w:b/>
                <w:bCs/>
                <w:sz w:val="24"/>
                <w:szCs w:val="24"/>
                <w:lang w:val="zh-CN"/>
              </w:rPr>
              <w:t>非金属矿供应链信息平台。</w:t>
            </w:r>
            <w:r>
              <w:rPr>
                <w:rFonts w:hint="eastAsia"/>
                <w:sz w:val="24"/>
                <w:szCs w:val="24"/>
                <w:lang w:val="zh-CN"/>
              </w:rPr>
              <w:t>规划开发从矿产原料、到工业深加工、再到目标市场的供应链一体化信息平台。</w:t>
            </w:r>
          </w:p>
        </w:tc>
      </w:tr>
    </w:tbl>
    <w:p>
      <w:pPr>
        <w:pStyle w:val="3"/>
        <w:spacing w:before="0" w:after="0" w:line="580" w:lineRule="exact"/>
        <w:jc w:val="center"/>
        <w:rPr>
          <w:rFonts w:ascii="Times New Roman" w:hAnsi="Times New Roman" w:eastAsia="方正楷体_GBK" w:cs="Times New Roman"/>
        </w:rPr>
      </w:pPr>
      <w:bookmarkStart w:id="187" w:name="_Toc6923"/>
      <w:bookmarkStart w:id="188" w:name="_Toc25370"/>
      <w:bookmarkStart w:id="189" w:name="_Toc440292130"/>
      <w:bookmarkStart w:id="190" w:name="_Toc440730932"/>
      <w:r>
        <w:rPr>
          <w:rFonts w:hint="eastAsia" w:ascii="Times New Roman" w:hAnsi="Times New Roman" w:eastAsia="方正楷体_GBK" w:cs="Times New Roman"/>
        </w:rPr>
        <w:t>第十九章</w:t>
      </w:r>
      <w:r>
        <w:rPr>
          <w:rFonts w:ascii="Times New Roman" w:hAnsi="Times New Roman" w:eastAsia="方正楷体_GBK" w:cs="Times New Roman"/>
        </w:rPr>
        <w:t xml:space="preserve">  </w:t>
      </w:r>
      <w:r>
        <w:rPr>
          <w:rFonts w:hint="eastAsia" w:ascii="Times New Roman" w:hAnsi="Times New Roman" w:eastAsia="方正楷体_GBK" w:cs="Times New Roman"/>
        </w:rPr>
        <w:t>主动融入“一带一路”</w:t>
      </w:r>
      <w:bookmarkEnd w:id="187"/>
      <w:bookmarkEnd w:id="188"/>
      <w:bookmarkEnd w:id="189"/>
      <w:bookmarkEnd w:id="190"/>
    </w:p>
    <w:p>
      <w:pPr>
        <w:adjustRightInd w:val="0"/>
        <w:snapToGrid w:val="0"/>
        <w:spacing w:line="580" w:lineRule="exact"/>
        <w:ind w:firstLine="632" w:firstLineChars="200"/>
      </w:pPr>
      <w:bookmarkStart w:id="191" w:name="_Toc440292131"/>
      <w:r>
        <w:rPr>
          <w:rFonts w:hint="eastAsia"/>
        </w:rPr>
        <w:t>抢抓实施“一带一路”战略机遇，充分发挥我市作为南联“一路”、北接“一带”最便捷支点的区位优势，密切联系中原城市群，主动对接武汉城市圈、皖江经济带，加强经贸合作，促进产业升级，增强人文交流，区域联动，带动全局。秉持亲诚惠容，坚持共商共建共享原则，全面推进与有关国家和地区的合作，增强我市在“一带一路”的战略支撑。</w:t>
      </w:r>
      <w:bookmarkEnd w:id="191"/>
    </w:p>
    <w:p>
      <w:pPr>
        <w:pStyle w:val="4"/>
        <w:keepNext w:val="0"/>
        <w:keepLines w:val="0"/>
        <w:spacing w:before="0" w:after="0" w:line="580" w:lineRule="exact"/>
        <w:jc w:val="center"/>
        <w:rPr>
          <w:rFonts w:eastAsia="方正仿宋_GBK"/>
        </w:rPr>
      </w:pPr>
      <w:bookmarkStart w:id="192" w:name="_Toc440292132"/>
      <w:bookmarkStart w:id="193" w:name="_Toc440730933"/>
      <w:bookmarkStart w:id="194" w:name="_Toc28156"/>
      <w:bookmarkStart w:id="195" w:name="_Toc26436"/>
      <w:r>
        <w:rPr>
          <w:rFonts w:hint="eastAsia" w:eastAsia="方正仿宋_GBK"/>
        </w:rPr>
        <w:t>第一节</w:t>
      </w:r>
      <w:r>
        <w:rPr>
          <w:rFonts w:eastAsia="方正仿宋_GBK"/>
        </w:rPr>
        <w:t xml:space="preserve">  </w:t>
      </w:r>
      <w:r>
        <w:rPr>
          <w:rFonts w:hint="eastAsia" w:eastAsia="方正仿宋_GBK"/>
        </w:rPr>
        <w:t>继续深化产业经贸合作</w:t>
      </w:r>
      <w:bookmarkEnd w:id="192"/>
      <w:bookmarkEnd w:id="193"/>
      <w:bookmarkEnd w:id="194"/>
      <w:bookmarkEnd w:id="195"/>
    </w:p>
    <w:p>
      <w:pPr>
        <w:spacing w:line="580" w:lineRule="exact"/>
        <w:ind w:firstLine="632" w:firstLineChars="200"/>
      </w:pPr>
      <w:r>
        <w:rPr>
          <w:rFonts w:hint="eastAsia"/>
        </w:rPr>
        <w:t>发挥现代农业技术优势，支持畜禽水产加工、茶叶加工、粮油加工等涉农龙头企业在农业资源丰富的沿线国家，开展农作物种植、畜牧水产业养殖、生态产业合作、生产加工和贸易合作，建设一批境外农业科技示范园、现代种养加工基地。市内重点做好潢川禽肉加工基地、南部山区农产品基地、沿淮河粮油加工基地等培育工作，积极申报省级出口基地。</w:t>
      </w:r>
    </w:p>
    <w:p>
      <w:pPr>
        <w:widowControl/>
        <w:spacing w:line="580" w:lineRule="exact"/>
        <w:ind w:firstLine="632" w:firstLineChars="200"/>
      </w:pPr>
      <w:r>
        <w:rPr>
          <w:rFonts w:hint="eastAsia"/>
        </w:rPr>
        <w:t>依托重大基础工程项目，推动现代家居、环保装备制造等制造业领域优势企业率先突破“一带一路”沿线国家市场，在沿线国家投资建厂，参与国际先进制造业分工合作，融入沿线国家基础设施建设和运作，促进互利共赢发展。</w:t>
      </w:r>
    </w:p>
    <w:p>
      <w:pPr>
        <w:spacing w:line="580" w:lineRule="exact"/>
        <w:ind w:firstLine="632" w:firstLineChars="200"/>
      </w:pPr>
      <w:r>
        <w:rPr>
          <w:rFonts w:hint="eastAsia"/>
        </w:rPr>
        <w:t>推动优势物流企业对接郑州航空港经济综合实验区和郑州铁路公司，在航空货运枢纽机场、郑欧班列沿线中心城市，在“一带一路”沿线国，开展境外集疏业务。支持非金属矿珍珠岩、膨润土、沸石、瓷石、未锻轧镁等资源优势企业积极参与国际资源开发合作，在“一带一路”沿线国家建设新型建材等生产基地。</w:t>
      </w:r>
    </w:p>
    <w:p>
      <w:pPr>
        <w:spacing w:line="580" w:lineRule="exact"/>
        <w:ind w:firstLine="632" w:firstLineChars="200"/>
      </w:pPr>
      <w:r>
        <w:rPr>
          <w:rFonts w:hint="eastAsia"/>
        </w:rPr>
        <w:t>鼓励我市创业大军走出国门，加强与沿线国家服务外包交流合作，承接沿线基础工程，开展对外承包工程劳务合作。发展加工贸易，推进圣诞节用品、鸭肉制品、家具及服装鞋帽等出口工作。积极承接外向型产业转移，争取引进一批产业链条长、出口潜力大、带动能力强的出口型项目，形成我市外贸新的增长点。</w:t>
      </w:r>
    </w:p>
    <w:p>
      <w:pPr>
        <w:pStyle w:val="4"/>
        <w:spacing w:before="0" w:after="0" w:line="580" w:lineRule="exact"/>
        <w:jc w:val="center"/>
        <w:rPr>
          <w:rFonts w:eastAsia="方正仿宋_GBK"/>
        </w:rPr>
      </w:pPr>
      <w:bookmarkStart w:id="196" w:name="_Toc440730934"/>
      <w:bookmarkStart w:id="197" w:name="_Toc9840"/>
      <w:bookmarkStart w:id="198" w:name="_Toc23979"/>
      <w:bookmarkStart w:id="199" w:name="_Toc440292133"/>
      <w:r>
        <w:rPr>
          <w:rFonts w:hint="eastAsia" w:eastAsia="方正仿宋_GBK"/>
        </w:rPr>
        <w:t>第二节</w:t>
      </w:r>
      <w:r>
        <w:rPr>
          <w:rFonts w:eastAsia="方正仿宋_GBK"/>
        </w:rPr>
        <w:t xml:space="preserve">  </w:t>
      </w:r>
      <w:r>
        <w:rPr>
          <w:rFonts w:hint="eastAsia" w:eastAsia="方正仿宋_GBK"/>
        </w:rPr>
        <w:t>增强人文交流交往</w:t>
      </w:r>
      <w:bookmarkEnd w:id="196"/>
      <w:bookmarkEnd w:id="197"/>
      <w:bookmarkEnd w:id="198"/>
      <w:bookmarkEnd w:id="199"/>
    </w:p>
    <w:p>
      <w:pPr>
        <w:spacing w:line="580" w:lineRule="exact"/>
        <w:ind w:firstLine="632" w:firstLineChars="200"/>
      </w:pPr>
      <w:r>
        <w:rPr>
          <w:rFonts w:hint="eastAsia"/>
        </w:rPr>
        <w:t>依托与沿线国家的历史文化渊源，密切文化、旅游、教育、医疗、科技、人才等领域合作，增进相互理解和认同。</w:t>
      </w:r>
    </w:p>
    <w:p>
      <w:pPr>
        <w:spacing w:line="580" w:lineRule="exact"/>
        <w:ind w:firstLine="632" w:firstLineChars="200"/>
      </w:pPr>
      <w:r>
        <w:rPr>
          <w:rFonts w:hint="eastAsia"/>
        </w:rPr>
        <w:t>丰富文化交流。积极参与丝绸之路文化之旅、丝绸之路艺术节、河南文化年等活动；充分发挥鸡公山“万国建筑文化”的优势，积极参与陆上丝绸之路沿线国家和地区的近代建筑文化、茶文化、濒危动植物保护等交流活动；以唐代“开漳圣王”陈元光、“闽王”王审知为纽带，积极参与海上丝绸之路沿线国家和地区人文交往和姓氏文化交流等活动，扩大信阳国际影响力。</w:t>
      </w:r>
    </w:p>
    <w:p>
      <w:pPr>
        <w:spacing w:line="580" w:lineRule="exact"/>
        <w:ind w:firstLine="632" w:firstLineChars="200"/>
      </w:pPr>
      <w:r>
        <w:rPr>
          <w:rFonts w:hint="eastAsia"/>
        </w:rPr>
        <w:t>扩大旅游合作。依托“一带一路”城市旅游联盟等合作平台，策划开发一批生态观光游、休闲度假游、红色胜地游、根亲文化游、中医药研学游、茶文化游等主题经典旅游产品，推动旅游资源整合开发和旅游市场互动共享，共同打造世界知名的精品文化旅游带。</w:t>
      </w:r>
    </w:p>
    <w:p>
      <w:pPr>
        <w:spacing w:line="580" w:lineRule="exact"/>
        <w:ind w:firstLine="632" w:firstLineChars="200"/>
      </w:pPr>
      <w:r>
        <w:rPr>
          <w:rFonts w:hint="eastAsia"/>
        </w:rPr>
        <w:t>参与教育合作。以信阳师范学院、信阳农林学院等院校为依托，参与实施“留学河南”计划，赴沿线国家开展合作办学或设立分校。积极推进医疗、科技、人才、环保等领域交流合作。</w:t>
      </w:r>
    </w:p>
    <w:p>
      <w:pPr>
        <w:pStyle w:val="4"/>
        <w:keepNext w:val="0"/>
        <w:keepLines w:val="0"/>
        <w:spacing w:before="0" w:after="0" w:line="580" w:lineRule="exact"/>
        <w:jc w:val="center"/>
        <w:rPr>
          <w:rFonts w:eastAsia="方正仿宋_GBK"/>
        </w:rPr>
      </w:pPr>
      <w:bookmarkStart w:id="200" w:name="_Toc26506"/>
      <w:bookmarkStart w:id="201" w:name="_Toc440292129"/>
      <w:bookmarkStart w:id="202" w:name="_Toc29794"/>
      <w:bookmarkStart w:id="203" w:name="_Toc440730935"/>
      <w:r>
        <w:rPr>
          <w:rFonts w:hint="eastAsia" w:eastAsia="方正仿宋_GBK"/>
        </w:rPr>
        <w:t>第三节</w:t>
      </w:r>
      <w:r>
        <w:rPr>
          <w:rFonts w:eastAsia="方正仿宋_GBK"/>
        </w:rPr>
        <w:t xml:space="preserve">  </w:t>
      </w:r>
      <w:r>
        <w:rPr>
          <w:rFonts w:hint="eastAsia" w:eastAsia="方正仿宋_GBK"/>
        </w:rPr>
        <w:t>加强开放平台建设</w:t>
      </w:r>
      <w:bookmarkEnd w:id="200"/>
      <w:bookmarkEnd w:id="201"/>
      <w:bookmarkEnd w:id="202"/>
      <w:bookmarkEnd w:id="203"/>
    </w:p>
    <w:p>
      <w:pPr>
        <w:spacing w:line="580" w:lineRule="exact"/>
        <w:ind w:firstLine="632" w:firstLineChars="200"/>
      </w:pPr>
      <w:r>
        <w:rPr>
          <w:rFonts w:hint="eastAsia"/>
        </w:rPr>
        <w:t>争取设立信阳铁路口岸、河南（信阳）水运口岸、明港航空口岸，支持淮滨打造大别山信阳淮滨港经济综合示范区，积极打造集综合加工、商贸流通、现代物流、文化旅游于一体的口岸经济增长极。积极申建信阳</w:t>
      </w:r>
      <w:r>
        <w:t>B</w:t>
      </w:r>
      <w:r>
        <w:rPr>
          <w:rFonts w:hint="eastAsia"/>
        </w:rPr>
        <w:t>型保税物流中心</w:t>
      </w:r>
      <w:r>
        <w:rPr>
          <w:rStyle w:val="8"/>
        </w:rPr>
        <w:footnoteReference w:id="32"/>
      </w:r>
      <w:r>
        <w:rPr>
          <w:rFonts w:hint="eastAsia"/>
        </w:rPr>
        <w:t>、综合保税区，推动信阳海关跨区域合作，建设内陆直通式海关，融入国内通关一体化</w:t>
      </w:r>
      <w:r>
        <w:t>,</w:t>
      </w:r>
      <w:r>
        <w:rPr>
          <w:rFonts w:hint="eastAsia"/>
        </w:rPr>
        <w:t>推动关检协作，实现与“一带一路”沿线及沿海沿边主要口岸的互联互通。建设对外劳务平台，建成</w:t>
      </w:r>
      <w:r>
        <w:t>1—2</w:t>
      </w:r>
      <w:r>
        <w:rPr>
          <w:rFonts w:hint="eastAsia"/>
        </w:rPr>
        <w:t>个国家级外派劳务平台，</w:t>
      </w:r>
      <w:r>
        <w:t>2—3</w:t>
      </w:r>
      <w:r>
        <w:rPr>
          <w:rFonts w:hint="eastAsia"/>
        </w:rPr>
        <w:t>个省级外派劳务平台。推进建设跨境电子商务口岸，促进各类开放平台功能集合和联动发展，形成多层次、全覆盖、立体化的开放平台支撑体系。</w:t>
      </w:r>
    </w:p>
    <w:p>
      <w:pPr>
        <w:pStyle w:val="3"/>
        <w:spacing w:before="0" w:after="0" w:line="580" w:lineRule="exact"/>
        <w:jc w:val="center"/>
        <w:rPr>
          <w:rFonts w:ascii="Times New Roman" w:hAnsi="Times New Roman" w:eastAsia="方正楷体_GBK" w:cs="Times New Roman"/>
        </w:rPr>
      </w:pPr>
      <w:bookmarkStart w:id="204" w:name="_Toc440292134"/>
      <w:bookmarkStart w:id="205" w:name="_Toc18398"/>
      <w:bookmarkStart w:id="206" w:name="_Toc23771"/>
      <w:bookmarkStart w:id="207" w:name="_Toc440730936"/>
      <w:r>
        <w:rPr>
          <w:rFonts w:hint="eastAsia" w:ascii="Times New Roman" w:hAnsi="Times New Roman" w:eastAsia="方正楷体_GBK" w:cs="Times New Roman"/>
        </w:rPr>
        <w:t>第二十章</w:t>
      </w:r>
      <w:r>
        <w:rPr>
          <w:rFonts w:ascii="Times New Roman" w:hAnsi="Times New Roman" w:eastAsia="方正楷体_GBK" w:cs="Times New Roman"/>
        </w:rPr>
        <w:t> </w:t>
      </w:r>
      <w:bookmarkEnd w:id="204"/>
      <w:r>
        <w:rPr>
          <w:rFonts w:ascii="Times New Roman" w:hAnsi="Times New Roman" w:eastAsia="方正楷体_GBK" w:cs="Times New Roman"/>
        </w:rPr>
        <w:t xml:space="preserve">  </w:t>
      </w:r>
      <w:r>
        <w:rPr>
          <w:rFonts w:hint="eastAsia" w:ascii="Times New Roman" w:hAnsi="Times New Roman" w:eastAsia="方正楷体_GBK" w:cs="Times New Roman"/>
        </w:rPr>
        <w:t>持续扩大开放招商</w:t>
      </w:r>
      <w:bookmarkEnd w:id="205"/>
      <w:bookmarkEnd w:id="206"/>
      <w:bookmarkEnd w:id="207"/>
    </w:p>
    <w:p>
      <w:pPr>
        <w:spacing w:line="580" w:lineRule="exact"/>
        <w:ind w:firstLine="632" w:firstLineChars="200"/>
      </w:pPr>
      <w:r>
        <w:rPr>
          <w:rFonts w:hint="eastAsia"/>
        </w:rPr>
        <w:t>坚持以扩大开放“一举求多效”，积极融入国家和省对外开放和区域发展战略，推动开放发展上水平，</w:t>
      </w:r>
      <w:r>
        <w:rPr>
          <w:rFonts w:hint="eastAsia"/>
          <w:color w:val="000000"/>
        </w:rPr>
        <w:t>加强招商引资工作，营造优良营商环境，提升我市外向型经济发展水平。</w:t>
      </w:r>
    </w:p>
    <w:p>
      <w:pPr>
        <w:pStyle w:val="4"/>
        <w:spacing w:before="0" w:after="0" w:line="580" w:lineRule="exact"/>
        <w:jc w:val="center"/>
        <w:rPr>
          <w:rFonts w:eastAsia="方正仿宋_GBK"/>
        </w:rPr>
      </w:pPr>
      <w:bookmarkStart w:id="208" w:name="_Toc440292135"/>
      <w:bookmarkStart w:id="209" w:name="_Toc21247"/>
      <w:bookmarkStart w:id="210" w:name="_Toc440730937"/>
      <w:bookmarkStart w:id="211" w:name="_Toc3698"/>
      <w:r>
        <w:rPr>
          <w:rFonts w:hint="eastAsia" w:eastAsia="方正仿宋_GBK"/>
        </w:rPr>
        <w:t>第一节</w:t>
      </w:r>
      <w:bookmarkEnd w:id="208"/>
      <w:r>
        <w:rPr>
          <w:rFonts w:eastAsia="方正仿宋_GBK"/>
        </w:rPr>
        <w:t xml:space="preserve">  </w:t>
      </w:r>
      <w:r>
        <w:rPr>
          <w:rFonts w:hint="eastAsia" w:eastAsia="方正仿宋_GBK"/>
        </w:rPr>
        <w:t>坚持实施“四一”招商</w:t>
      </w:r>
      <w:bookmarkEnd w:id="209"/>
      <w:bookmarkEnd w:id="210"/>
      <w:bookmarkEnd w:id="211"/>
    </w:p>
    <w:p>
      <w:pPr>
        <w:spacing w:line="580" w:lineRule="exact"/>
        <w:ind w:firstLine="632" w:firstLineChars="200"/>
      </w:pPr>
      <w:r>
        <w:rPr>
          <w:rFonts w:hint="eastAsia"/>
          <w:color w:val="000000"/>
        </w:rPr>
        <w:t>围绕壮大主导产业，</w:t>
      </w:r>
      <w:r>
        <w:rPr>
          <w:rFonts w:hint="eastAsia"/>
        </w:rPr>
        <w:t>紧盯产业发展趋势，持续加大开放招商力度。</w:t>
      </w:r>
      <w:r>
        <w:rPr>
          <w:rFonts w:hint="eastAsia"/>
          <w:color w:val="000000"/>
        </w:rPr>
        <w:t>开展好明确一个方向、选择一个地方、持续一个时段、兴起一个产业的招商行动，有针对性地开展集团化、体系化招商，做好延链补链工作，重点引进能够优化、完善产业链的企业，</w:t>
      </w:r>
      <w:r>
        <w:rPr>
          <w:rFonts w:hint="eastAsia"/>
        </w:rPr>
        <w:t>实现精准招商，</w:t>
      </w:r>
      <w:r>
        <w:rPr>
          <w:rFonts w:hint="eastAsia"/>
          <w:color w:val="000000"/>
        </w:rPr>
        <w:t>促进产业集群发展。</w:t>
      </w:r>
      <w:r>
        <w:t xml:space="preserve">    </w:t>
      </w:r>
    </w:p>
    <w:p>
      <w:pPr>
        <w:spacing w:line="580" w:lineRule="exact"/>
        <w:ind w:firstLine="634" w:firstLineChars="200"/>
      </w:pPr>
      <w:r>
        <w:rPr>
          <w:rFonts w:hint="eastAsia"/>
          <w:b/>
          <w:bCs/>
        </w:rPr>
        <w:t>完善招商平台。</w:t>
      </w:r>
      <w:r>
        <w:rPr>
          <w:rFonts w:hint="eastAsia"/>
        </w:rPr>
        <w:t>以产业集聚区、特色专业园区、服务业“两区”为载体，继续推进招商常态化。谋划组织好重大招商活动，以信阳国际茶文化节、息县赖氏根亲文化节等为依托，打造具有影响力的招商平台。以企业招商项目洽谈会、区域贸易投资洽谈会等节会活动为契机，积极参与国家和省组织举办的招商活动。按照“联合共建、利税共享、风险共担”原则，鼓励探索与沿海发达地区异地共建产业园区。</w:t>
      </w:r>
      <w:r>
        <w:br w:type="textWrapping"/>
      </w:r>
      <w:r>
        <w:t xml:space="preserve">    </w:t>
      </w:r>
      <w:r>
        <w:rPr>
          <w:rFonts w:hint="eastAsia"/>
          <w:b/>
          <w:bCs/>
        </w:rPr>
        <w:t>创新招商方式。</w:t>
      </w:r>
      <w:r>
        <w:rPr>
          <w:rFonts w:hint="eastAsia"/>
        </w:rPr>
        <w:t>推动“政策招商”向“产业招商”转变，由单个项目招商为主体向以功能区块整体开发运营招商为主体转变。</w:t>
      </w:r>
      <w:r>
        <w:rPr>
          <w:rFonts w:hint="eastAsia"/>
          <w:color w:val="000000"/>
        </w:rPr>
        <w:t>通过以商招商、代理招商、集群招商等方式，</w:t>
      </w:r>
      <w:r>
        <w:rPr>
          <w:rFonts w:hint="eastAsia"/>
        </w:rPr>
        <w:t>突出精准招商，鼓励各地加强与龙头企业、行业协会、民间商会、投资咨询公司等的战略合作，开展专题性推介、区域性对接，实现企业集群式引进、产业链接式转移。拓展“贸易</w:t>
      </w:r>
      <w:r>
        <w:t>+</w:t>
      </w:r>
      <w:r>
        <w:rPr>
          <w:rFonts w:hint="eastAsia"/>
        </w:rPr>
        <w:t>投资”、“技术</w:t>
      </w:r>
      <w:r>
        <w:t>+</w:t>
      </w:r>
      <w:r>
        <w:rPr>
          <w:rFonts w:hint="eastAsia"/>
        </w:rPr>
        <w:t>产业”等招商方式。</w:t>
      </w:r>
      <w:r>
        <w:br w:type="textWrapping"/>
      </w:r>
      <w:r>
        <w:t xml:space="preserve">    </w:t>
      </w:r>
      <w:r>
        <w:rPr>
          <w:rFonts w:hint="eastAsia"/>
          <w:b/>
          <w:bCs/>
        </w:rPr>
        <w:t>提升招商层次。</w:t>
      </w:r>
      <w:r>
        <w:rPr>
          <w:rFonts w:hint="eastAsia"/>
        </w:rPr>
        <w:t>加大对重大签约项目的跟踪落实力度，努力提高签约项目落地率，增强招商引资实效性。大力吸引央企和行业</w:t>
      </w:r>
      <w:r>
        <w:t>50</w:t>
      </w:r>
      <w:r>
        <w:rPr>
          <w:rFonts w:hint="eastAsia"/>
        </w:rPr>
        <w:t>强企业在我市设立生产基地、研发中心和区域总部，加强与世界</w:t>
      </w:r>
      <w:r>
        <w:t>500</w:t>
      </w:r>
      <w:r>
        <w:rPr>
          <w:rFonts w:hint="eastAsia"/>
        </w:rPr>
        <w:t>强企业合作，引导其商业网点加快向我市覆盖。发挥产业集聚区和专业园区的龙头示范作用，按照发展产业集群的要求，抓好产业集群招商，谋划包装重大招商题材，瞄准港澳台、日韩、欧美等重点区域，大力推动央企和沿海发达省份在我市产业集聚区设立区域性产业园区。</w:t>
      </w:r>
    </w:p>
    <w:p>
      <w:pPr>
        <w:pStyle w:val="4"/>
        <w:spacing w:before="0" w:after="0" w:line="580" w:lineRule="exact"/>
        <w:jc w:val="center"/>
        <w:rPr>
          <w:rFonts w:eastAsia="方正仿宋_GBK"/>
        </w:rPr>
      </w:pPr>
      <w:bookmarkStart w:id="212" w:name="_Toc440292136"/>
      <w:bookmarkStart w:id="213" w:name="_Toc21209"/>
      <w:bookmarkStart w:id="214" w:name="_Toc440730938"/>
      <w:bookmarkStart w:id="215" w:name="_Toc31600"/>
      <w:r>
        <w:rPr>
          <w:rFonts w:hint="eastAsia" w:eastAsia="方正仿宋_GBK"/>
        </w:rPr>
        <w:t>第二节</w:t>
      </w:r>
      <w:r>
        <w:rPr>
          <w:rFonts w:eastAsia="方正仿宋_GBK"/>
        </w:rPr>
        <w:t xml:space="preserve">  </w:t>
      </w:r>
      <w:bookmarkEnd w:id="212"/>
      <w:r>
        <w:rPr>
          <w:rFonts w:hint="eastAsia" w:eastAsia="方正仿宋_GBK"/>
        </w:rPr>
        <w:t>积极承接产业转移</w:t>
      </w:r>
      <w:bookmarkEnd w:id="213"/>
      <w:bookmarkEnd w:id="214"/>
      <w:bookmarkEnd w:id="215"/>
    </w:p>
    <w:p>
      <w:pPr>
        <w:spacing w:line="580" w:lineRule="exact"/>
        <w:ind w:firstLine="632" w:firstLineChars="200"/>
      </w:pPr>
      <w:r>
        <w:rPr>
          <w:rFonts w:hint="eastAsia"/>
        </w:rPr>
        <w:t>推动增强产业集聚区承接转移能力，抢抓机遇，发挥优势，大力吸引国内外产业向我市转移。</w:t>
      </w:r>
      <w:bookmarkStart w:id="216" w:name="_Toc440292137"/>
      <w:bookmarkStart w:id="217" w:name="_Toc27533"/>
      <w:bookmarkStart w:id="218" w:name="_Toc440730939"/>
      <w:r>
        <w:rPr>
          <w:rFonts w:hint="eastAsia"/>
        </w:rPr>
        <w:t>结合主导产业发展趋势，着力发展涉外出口中介服务、金融服务、教育培训、研发中心、旅游联盟等生产性服务业。大力引进国内外知名中介服务机构，开展会计税务、法律服务、知识产权等业务。鼓励民营资本进入金融领域，支持各种国内外商业银行布局设点。鼓励中外合作办学和创办高水平大学，扩大职业教育国际交流，加强与境内外医疗机构合作。合作开发培育通用航空等新兴旅游业态，打造国际旅游目的地和旅游装备产业基地。</w:t>
      </w:r>
      <w:r>
        <w:t xml:space="preserve"> </w:t>
      </w:r>
    </w:p>
    <w:p>
      <w:pPr>
        <w:pStyle w:val="4"/>
        <w:spacing w:before="0" w:after="0" w:line="580" w:lineRule="exact"/>
        <w:jc w:val="center"/>
        <w:rPr>
          <w:rFonts w:eastAsia="方正仿宋_GBK"/>
        </w:rPr>
      </w:pPr>
      <w:bookmarkStart w:id="219" w:name="_Toc31242"/>
      <w:r>
        <w:rPr>
          <w:rFonts w:hint="eastAsia" w:eastAsia="方正仿宋_GBK"/>
        </w:rPr>
        <w:t>第三节</w:t>
      </w:r>
      <w:bookmarkEnd w:id="216"/>
      <w:r>
        <w:rPr>
          <w:rFonts w:eastAsia="方正仿宋_GBK"/>
        </w:rPr>
        <w:t xml:space="preserve">  </w:t>
      </w:r>
      <w:r>
        <w:rPr>
          <w:rFonts w:hint="eastAsia" w:eastAsia="方正仿宋_GBK"/>
        </w:rPr>
        <w:t>营造优良营商环境</w:t>
      </w:r>
      <w:bookmarkEnd w:id="217"/>
      <w:bookmarkEnd w:id="218"/>
      <w:bookmarkEnd w:id="219"/>
    </w:p>
    <w:p>
      <w:pPr>
        <w:spacing w:line="580" w:lineRule="exact"/>
        <w:ind w:firstLine="632" w:firstLineChars="200"/>
      </w:pPr>
      <w:r>
        <w:rPr>
          <w:rFonts w:hint="eastAsia"/>
        </w:rPr>
        <w:t>提升政府服务效能，引入国际通行的行业规范、管理标准和营商规则，打造法治化、国际化、便利化的营商环境，全面实行外商投资准入前国民待遇加负面清单的管理模式，推广“清单化审核、备案化管理”的外商投资企业设立快速审批方式，推进企业注册等级、融资、跨境交易等与国际规则和国际管理全面接轨。加强招商引资信息处理和受理服务、招商引资联审联批和代理等开放公共服务平台建设，通过政府购买服务，对提供外商投资项目中介服务的市场主体给予分类定额奖补。优化市场竞争环境，清理规范进出口环节经营服务性收费，减少行政事业性收费，完善外商投诉权益保护机制，切实维护外来投资者的合法权益，营造良好的投资氛围。</w:t>
      </w:r>
    </w:p>
    <w:p>
      <w:pPr>
        <w:pStyle w:val="4"/>
        <w:spacing w:before="0" w:after="0" w:line="580" w:lineRule="exact"/>
        <w:jc w:val="center"/>
        <w:rPr>
          <w:rFonts w:eastAsia="方正仿宋_GBK"/>
        </w:rPr>
      </w:pPr>
      <w:bookmarkStart w:id="220" w:name="_Toc22056"/>
      <w:bookmarkStart w:id="221" w:name="_Toc23401"/>
      <w:bookmarkStart w:id="222" w:name="_Toc440730940"/>
      <w:r>
        <w:rPr>
          <w:rFonts w:hint="eastAsia" w:eastAsia="方正仿宋_GBK"/>
        </w:rPr>
        <w:t>第四节</w:t>
      </w:r>
      <w:r>
        <w:rPr>
          <w:rFonts w:eastAsia="方正仿宋_GBK"/>
        </w:rPr>
        <w:t xml:space="preserve">  </w:t>
      </w:r>
      <w:r>
        <w:rPr>
          <w:rFonts w:hint="eastAsia" w:eastAsia="方正仿宋_GBK"/>
        </w:rPr>
        <w:t>提升开放型经济发展水平</w:t>
      </w:r>
      <w:bookmarkEnd w:id="220"/>
      <w:bookmarkEnd w:id="221"/>
      <w:bookmarkEnd w:id="222"/>
    </w:p>
    <w:p>
      <w:pPr>
        <w:widowControl/>
        <w:spacing w:line="580" w:lineRule="exact"/>
        <w:ind w:firstLine="632" w:firstLineChars="200"/>
      </w:pPr>
      <w:r>
        <w:rPr>
          <w:rFonts w:hint="eastAsia"/>
        </w:rPr>
        <w:t>坚持对外开放与转型升级相结合，提高利用外资水平，以开放催生一批高端产业、形成一批领军企业，增强经济综合实力。</w:t>
      </w:r>
    </w:p>
    <w:p>
      <w:pPr>
        <w:spacing w:line="580" w:lineRule="exact"/>
        <w:ind w:firstLine="634" w:firstLineChars="200"/>
      </w:pPr>
      <w:r>
        <w:rPr>
          <w:rFonts w:hint="eastAsia"/>
          <w:b/>
          <w:bCs/>
        </w:rPr>
        <w:t>提高外资利用水平。</w:t>
      </w:r>
      <w:r>
        <w:rPr>
          <w:rFonts w:hint="eastAsia"/>
        </w:rPr>
        <w:t>继续把外商直接投资作为利用外资工作的重点，积极吸引外商续建新建项目。坚持量质并举，坚决摒弃“只求数量、不重质量”的急功近利思想。积极、合理、高效地借用国际、国外优惠贷款，优化贷款投向，重点支持节能环保、生态建设、公用基础设施、新农村建设等。更加注重外资项目品质，引导和鼓励外资投向高新技术企业、先进制造业以及战略性新兴产业。增强利用外资效益，引导外资投资科技中介、创新孵化器等公共服务平台，推动引资与引技、引智有机结合。</w:t>
      </w:r>
    </w:p>
    <w:p>
      <w:pPr>
        <w:widowControl/>
        <w:spacing w:line="580" w:lineRule="exact"/>
        <w:ind w:firstLine="634" w:firstLineChars="200"/>
      </w:pPr>
      <w:r>
        <w:rPr>
          <w:rFonts w:hint="eastAsia"/>
          <w:b/>
          <w:bCs/>
        </w:rPr>
        <w:t>持续提升产业发展层次。</w:t>
      </w:r>
      <w:r>
        <w:rPr>
          <w:rFonts w:hint="eastAsia"/>
        </w:rPr>
        <w:t>进一步推动各类要素向产业高端和高端产业集聚，加快三次产业转型发展，加快构建现代产业体系。通过引进高端技术和人才，促进我市电子信息、现代家居、绿色食品、电商物流等支柱产业拉长产业链条，形成产业集群，提高规模和档次，实现传统产品高端化、品牌化和低碳化，提高市场占有率，形成信阳制造品牌。制定扶持政策，培育出口竞争新优势，不断提升企业核心竞争力，逐步扩大国际市场占有率，树立信阳品牌形象和质量信誉，积极扩大农产品出口。重点支持华英、羚锐等企业加快“引进来”和“走出去”步伐，与世界</w:t>
      </w:r>
      <w:r>
        <w:t>500</w:t>
      </w:r>
      <w:r>
        <w:rPr>
          <w:rFonts w:hint="eastAsia"/>
        </w:rPr>
        <w:t>强、央企国企、行业十强合作。扩大企业与境内外高校、科研院所的合作，增强企业自主创新能力。开展境外投资和加工贸易，在全球范围内优化资源配置，做强主业、叫响品牌。</w:t>
      </w:r>
      <w:bookmarkStart w:id="223" w:name="_Toc440292138"/>
      <w:bookmarkStart w:id="224" w:name="_Toc440730941"/>
      <w:bookmarkStart w:id="225" w:name="_Toc23254"/>
    </w:p>
    <w:p>
      <w:pPr>
        <w:pStyle w:val="2"/>
        <w:spacing w:before="0" w:after="0" w:line="580" w:lineRule="exact"/>
        <w:jc w:val="center"/>
      </w:pPr>
      <w:r>
        <w:rPr>
          <w:rFonts w:eastAsia="方正仿宋_GBK"/>
        </w:rPr>
        <w:br w:type="page"/>
      </w:r>
      <w:bookmarkStart w:id="226" w:name="_Toc15099"/>
      <w:r>
        <w:rPr>
          <w:rFonts w:hint="eastAsia"/>
        </w:rPr>
        <w:t>第六篇</w:t>
      </w:r>
      <w:r>
        <w:t xml:space="preserve">  </w:t>
      </w:r>
      <w:r>
        <w:rPr>
          <w:rFonts w:hint="eastAsia"/>
        </w:rPr>
        <w:t>更好实现共享发展</w:t>
      </w:r>
      <w:bookmarkEnd w:id="223"/>
      <w:bookmarkEnd w:id="224"/>
      <w:bookmarkEnd w:id="225"/>
      <w:bookmarkEnd w:id="226"/>
    </w:p>
    <w:p>
      <w:pPr>
        <w:spacing w:line="580" w:lineRule="exact"/>
        <w:ind w:firstLine="632" w:firstLineChars="200"/>
        <w:rPr>
          <w:color w:val="000000"/>
          <w:shd w:val="clear" w:color="auto" w:fill="FFFFFF"/>
        </w:rPr>
      </w:pPr>
      <w:r>
        <w:rPr>
          <w:rFonts w:hint="eastAsia"/>
          <w:color w:val="000000"/>
          <w:shd w:val="clear" w:color="auto" w:fill="FFFFFF"/>
        </w:rPr>
        <w:t>共享是中国特色社会主义的本质要求。按照人人参与、人人尽力、人人享有的要求，</w:t>
      </w:r>
      <w:r>
        <w:rPr>
          <w:rFonts w:hint="eastAsia"/>
        </w:rPr>
        <w:t>以增进民生福祉为目的，坚持建机制、补短板、兜底线，加快发展社会事业，改革完善收入分配制度，千方百计增加居民收入，加强和创新社会治理，不断提高人们生活质量和水平，</w:t>
      </w:r>
      <w:r>
        <w:rPr>
          <w:rFonts w:hint="eastAsia"/>
          <w:color w:val="000000"/>
          <w:shd w:val="clear" w:color="auto" w:fill="FFFFFF"/>
        </w:rPr>
        <w:t>实现全市人民共同迈入全面小康社会。</w:t>
      </w:r>
    </w:p>
    <w:p>
      <w:pPr>
        <w:pStyle w:val="3"/>
        <w:spacing w:before="0" w:after="0" w:line="580" w:lineRule="exact"/>
        <w:jc w:val="center"/>
        <w:rPr>
          <w:rFonts w:ascii="Times New Roman" w:hAnsi="Times New Roman" w:eastAsia="方正楷体_GBK" w:cs="Times New Roman"/>
        </w:rPr>
      </w:pPr>
      <w:bookmarkStart w:id="227" w:name="_Toc440292139"/>
      <w:bookmarkStart w:id="228" w:name="_Toc31636"/>
      <w:bookmarkStart w:id="229" w:name="_Toc14525"/>
      <w:bookmarkStart w:id="230" w:name="_Toc440730942"/>
      <w:bookmarkStart w:id="231" w:name="_Toc24107"/>
      <w:r>
        <w:rPr>
          <w:rFonts w:hint="eastAsia" w:ascii="Times New Roman" w:hAnsi="Times New Roman" w:eastAsia="方正楷体_GBK" w:cs="Times New Roman"/>
        </w:rPr>
        <w:t>第二十一章</w:t>
      </w:r>
      <w:r>
        <w:rPr>
          <w:rFonts w:ascii="Times New Roman" w:hAnsi="Times New Roman" w:eastAsia="方正楷体_GBK" w:cs="Times New Roman"/>
        </w:rPr>
        <w:t xml:space="preserve">  </w:t>
      </w:r>
      <w:r>
        <w:rPr>
          <w:rFonts w:hint="eastAsia" w:ascii="Times New Roman" w:hAnsi="Times New Roman" w:eastAsia="方正楷体_GBK" w:cs="Times New Roman"/>
        </w:rPr>
        <w:t>打赢脱贫攻坚</w:t>
      </w:r>
      <w:bookmarkEnd w:id="227"/>
      <w:bookmarkEnd w:id="228"/>
      <w:r>
        <w:rPr>
          <w:rFonts w:hint="eastAsia" w:ascii="Times New Roman" w:hAnsi="Times New Roman" w:eastAsia="方正楷体_GBK" w:cs="Times New Roman"/>
        </w:rPr>
        <w:t>战</w:t>
      </w:r>
      <w:bookmarkEnd w:id="229"/>
      <w:bookmarkEnd w:id="230"/>
      <w:bookmarkEnd w:id="231"/>
    </w:p>
    <w:p>
      <w:pPr>
        <w:widowControl/>
        <w:spacing w:line="580" w:lineRule="exact"/>
        <w:ind w:firstLine="632" w:firstLineChars="200"/>
      </w:pPr>
      <w:r>
        <w:rPr>
          <w:rFonts w:hint="eastAsia"/>
        </w:rPr>
        <w:t>把脱贫攻坚作为全面建成小康社会的重大政治任务、重要民生工程和促进经济增长的重要途径，以落实《大别山革命老区振兴发展规划》、</w:t>
      </w:r>
      <w:r>
        <w:rPr>
          <w:rFonts w:hint="eastAsia"/>
          <w:color w:val="000000"/>
        </w:rPr>
        <w:t>《关于加大脱贫攻坚力度支持革命老区开发建设的指导意见》</w:t>
      </w:r>
      <w:r>
        <w:rPr>
          <w:rFonts w:hint="eastAsia"/>
        </w:rPr>
        <w:t>为契机，</w:t>
      </w:r>
      <w:r>
        <w:t> </w:t>
      </w:r>
      <w:r>
        <w:rPr>
          <w:rFonts w:hint="eastAsia"/>
        </w:rPr>
        <w:t>实施精准扶贫、精准脱贫，因人因户因地施策，全面完成脱贫任务。</w:t>
      </w:r>
    </w:p>
    <w:p>
      <w:pPr>
        <w:pStyle w:val="4"/>
        <w:spacing w:before="0" w:after="0" w:line="580" w:lineRule="exact"/>
        <w:jc w:val="center"/>
        <w:rPr>
          <w:rFonts w:eastAsia="方正仿宋_GBK"/>
        </w:rPr>
      </w:pPr>
      <w:bookmarkStart w:id="232" w:name="_Toc28397"/>
      <w:bookmarkStart w:id="233" w:name="_Toc2067"/>
      <w:r>
        <w:rPr>
          <w:rFonts w:hint="eastAsia" w:eastAsia="方正仿宋_GBK"/>
        </w:rPr>
        <w:t>第一节</w:t>
      </w:r>
      <w:r>
        <w:rPr>
          <w:rFonts w:eastAsia="方正仿宋_GBK"/>
        </w:rPr>
        <w:t xml:space="preserve">  </w:t>
      </w:r>
      <w:r>
        <w:rPr>
          <w:rFonts w:hint="eastAsia" w:eastAsia="方正仿宋_GBK"/>
        </w:rPr>
        <w:t>推进精准扶贫精准脱贫</w:t>
      </w:r>
      <w:bookmarkEnd w:id="232"/>
      <w:bookmarkEnd w:id="233"/>
    </w:p>
    <w:p>
      <w:pPr>
        <w:spacing w:line="580" w:lineRule="exact"/>
        <w:ind w:firstLine="632" w:firstLineChars="200"/>
        <w:rPr>
          <w:color w:val="000000"/>
          <w:shd w:val="clear" w:color="auto" w:fill="FFFFFF"/>
        </w:rPr>
      </w:pPr>
      <w:r>
        <w:rPr>
          <w:rFonts w:hint="eastAsia"/>
          <w:color w:val="000000"/>
          <w:shd w:val="clear" w:color="auto" w:fill="FFFFFF"/>
        </w:rPr>
        <w:t>充分发挥政治优势和制度优势，创新扶贫工作机制和模式，加大扶贫攻坚力度。拓宽扶贫途径、完善扶贫举措，确保如期全面完成脱贫任务。</w:t>
      </w:r>
    </w:p>
    <w:p>
      <w:pPr>
        <w:spacing w:line="580" w:lineRule="exact"/>
        <w:ind w:firstLine="634" w:firstLineChars="200"/>
        <w:rPr>
          <w:color w:val="000000"/>
        </w:rPr>
      </w:pPr>
      <w:r>
        <w:rPr>
          <w:rFonts w:hint="eastAsia"/>
          <w:b/>
          <w:bCs/>
          <w:color w:val="000000"/>
        </w:rPr>
        <w:t>拓宽脱贫攻坚途径。</w:t>
      </w:r>
      <w:r>
        <w:rPr>
          <w:rFonts w:hint="eastAsia"/>
          <w:color w:val="000000"/>
          <w:shd w:val="clear" w:color="auto" w:fill="FFFFFF"/>
        </w:rPr>
        <w:t>转移就业脱贫一批，把扶贫开发与推进新型工业化城镇化相结合，使更多的贫困劳动力转移到二三产业就业，实现稳定脱贫。发展生产脱贫一批，引导和支持所有有劳动能力的人依靠推进现代农业、发展特色产业，实现就地脱贫致富。易地搬迁脱贫一批，对难以实现就地脱贫</w:t>
      </w:r>
      <w:r>
        <w:rPr>
          <w:rFonts w:hint="eastAsia"/>
          <w:color w:val="000000"/>
        </w:rPr>
        <w:t>的贫困人员实施易地搬迁，按规划、分年度、有计划组织实施，确保搬得出、稳得住、能致富。社会保障兜底一批，对丧失劳动能力的贫困人口实施兜底性保障政策，实行低保政策与扶贫支持相衔接。应急救助一批，对因病因灾返贫致贫的及时给予医疗救助和临时救助。</w:t>
      </w:r>
    </w:p>
    <w:p>
      <w:pPr>
        <w:spacing w:line="580" w:lineRule="exact"/>
        <w:ind w:firstLine="634" w:firstLineChars="200"/>
        <w:rPr>
          <w:color w:val="000000"/>
        </w:rPr>
      </w:pPr>
      <w:r>
        <w:rPr>
          <w:rFonts w:hint="eastAsia"/>
          <w:b/>
          <w:bCs/>
          <w:color w:val="000000"/>
        </w:rPr>
        <w:t>完善脱贫攻坚举措。</w:t>
      </w:r>
      <w:r>
        <w:rPr>
          <w:rFonts w:hint="eastAsia"/>
          <w:color w:val="000000"/>
          <w:shd w:val="clear" w:color="auto" w:fill="FFFFFF"/>
        </w:rPr>
        <w:t>以乡村为单位完善贫困村脱贫规</w:t>
      </w:r>
      <w:r>
        <w:rPr>
          <w:rFonts w:hint="eastAsia"/>
          <w:color w:val="000000"/>
        </w:rPr>
        <w:t>划、脱贫措施，推动扶贫到村到户，实现扶贫对象精准、资金使用精准、措施到户精准、因村派人精准、脱贫成效精准。加快建档立卡和信息网络平台建设，确保贫困人口应保尽保。实施合作扶贫，培育壮大农业产业化龙头企业、农民专业合作社、电商企业、流通组织等市场主体，健全完善其与贫困户的利益联结机制，实现农户分散生产与社会化大市场的有效对接。大力实施教育扶贫，提高贫困地区基础教育质量、职业教育水平，推进贫困地区基本公共服务均等化。实施安居扶贫，把脱贫工作与科学推进新农村、美丽乡村建设结合起来，合理建设公共服务设施，提升公共服务水平。加强财政金融扶贫，加大各级财政扶贫资金投入，整合各类扶贫资源，发挥政策性金融和商业性金融的互补作用，开辟扶贫开发新的资金渠道。实施基础设施扶贫，坚持科学规划，因地制宜解决通路、通水、通电、通网络问题。探索对贫困人口实行资产收益扶持政策。</w:t>
      </w:r>
    </w:p>
    <w:tbl>
      <w:tblPr>
        <w:tblStyle w:val="7"/>
        <w:tblW w:w="8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30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eastAsia="方正小标宋_GBK"/>
                <w:sz w:val="28"/>
                <w:szCs w:val="24"/>
              </w:rPr>
            </w:pPr>
            <w:bookmarkStart w:id="234" w:name="_Toc28511"/>
            <w:r>
              <w:rPr>
                <w:rFonts w:hint="eastAsia" w:eastAsia="方正小标宋_GBK"/>
                <w:sz w:val="28"/>
                <w:szCs w:val="24"/>
              </w:rPr>
              <w:t>专栏</w:t>
            </w:r>
            <w:r>
              <w:rPr>
                <w:rFonts w:eastAsia="方正小标宋_GBK"/>
                <w:sz w:val="28"/>
                <w:szCs w:val="24"/>
              </w:rPr>
              <w:t>33:</w:t>
            </w:r>
            <w:r>
              <w:rPr>
                <w:rFonts w:hint="eastAsia" w:eastAsia="方正小标宋_GBK"/>
                <w:sz w:val="28"/>
                <w:szCs w:val="24"/>
              </w:rPr>
              <w:t>脱贫攻坚重点工程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8"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总体目标。</w:t>
            </w:r>
            <w:r>
              <w:rPr>
                <w:rFonts w:hint="eastAsia"/>
                <w:sz w:val="24"/>
                <w:szCs w:val="24"/>
              </w:rPr>
              <w:t>到</w:t>
            </w:r>
            <w:r>
              <w:rPr>
                <w:sz w:val="24"/>
                <w:szCs w:val="24"/>
              </w:rPr>
              <w:t>2019</w:t>
            </w:r>
            <w:r>
              <w:rPr>
                <w:rFonts w:hint="eastAsia"/>
                <w:sz w:val="24"/>
                <w:szCs w:val="24"/>
              </w:rPr>
              <w:t>年在现行标准下</w:t>
            </w:r>
            <w:r>
              <w:rPr>
                <w:sz w:val="24"/>
                <w:szCs w:val="24"/>
              </w:rPr>
              <w:t>38</w:t>
            </w:r>
            <w:r>
              <w:rPr>
                <w:rFonts w:hint="eastAsia"/>
                <w:sz w:val="24"/>
                <w:szCs w:val="24"/>
              </w:rPr>
              <w:t>万农村贫困人口实现稳定脱贫，贫困村、贫困县全部达到脱贫标准，退出贫困序列。</w:t>
            </w:r>
          </w:p>
          <w:p>
            <w:pPr>
              <w:spacing w:line="400" w:lineRule="exact"/>
              <w:ind w:firstLine="474" w:firstLineChars="200"/>
              <w:rPr>
                <w:sz w:val="24"/>
                <w:szCs w:val="24"/>
              </w:rPr>
            </w:pPr>
            <w:r>
              <w:rPr>
                <w:rFonts w:hint="eastAsia"/>
                <w:b/>
                <w:bCs/>
                <w:sz w:val="24"/>
                <w:szCs w:val="24"/>
              </w:rPr>
              <w:t>转移就业扶贫。</w:t>
            </w:r>
            <w:r>
              <w:rPr>
                <w:rFonts w:hint="eastAsia"/>
                <w:sz w:val="24"/>
                <w:szCs w:val="24"/>
              </w:rPr>
              <w:t>加强职业教育、技能培训和就业服务，积极引导贫困地区劳动力向产业集聚区、城镇转移就业，促进</w:t>
            </w:r>
            <w:r>
              <w:rPr>
                <w:sz w:val="24"/>
                <w:szCs w:val="24"/>
              </w:rPr>
              <w:t>20</w:t>
            </w:r>
            <w:r>
              <w:rPr>
                <w:rFonts w:hint="eastAsia"/>
                <w:sz w:val="24"/>
                <w:szCs w:val="24"/>
              </w:rPr>
              <w:t>万人左右的贫困人口稳定脱贫。</w:t>
            </w:r>
          </w:p>
          <w:p>
            <w:pPr>
              <w:spacing w:line="400" w:lineRule="exact"/>
              <w:ind w:firstLine="474" w:firstLineChars="200"/>
              <w:rPr>
                <w:sz w:val="24"/>
                <w:szCs w:val="24"/>
              </w:rPr>
            </w:pPr>
            <w:r>
              <w:rPr>
                <w:rFonts w:hint="eastAsia"/>
                <w:b/>
                <w:bCs/>
                <w:sz w:val="24"/>
                <w:szCs w:val="24"/>
              </w:rPr>
              <w:t>发展生产扶贫。</w:t>
            </w:r>
            <w:r>
              <w:rPr>
                <w:rFonts w:hint="eastAsia"/>
                <w:sz w:val="24"/>
                <w:szCs w:val="24"/>
              </w:rPr>
              <w:t>推动有条件的贫困地区发展现代农业、特色林果业、特色乡村游及配套加工产业，建设特色产业集群和专业园区，发展生产带动</w:t>
            </w:r>
            <w:r>
              <w:rPr>
                <w:sz w:val="24"/>
                <w:szCs w:val="24"/>
              </w:rPr>
              <w:t>10</w:t>
            </w:r>
            <w:r>
              <w:rPr>
                <w:rFonts w:hint="eastAsia"/>
                <w:sz w:val="24"/>
                <w:szCs w:val="24"/>
              </w:rPr>
              <w:t>万人左右脱贫。</w:t>
            </w:r>
          </w:p>
          <w:p>
            <w:pPr>
              <w:spacing w:line="400" w:lineRule="exact"/>
              <w:ind w:firstLine="474" w:firstLineChars="200"/>
              <w:rPr>
                <w:sz w:val="24"/>
                <w:szCs w:val="24"/>
              </w:rPr>
            </w:pPr>
            <w:r>
              <w:rPr>
                <w:rFonts w:hint="eastAsia"/>
                <w:b/>
                <w:bCs/>
                <w:sz w:val="24"/>
                <w:szCs w:val="24"/>
              </w:rPr>
              <w:t>易地搬迁扶贫。</w:t>
            </w:r>
            <w:r>
              <w:rPr>
                <w:rFonts w:hint="eastAsia"/>
                <w:sz w:val="24"/>
                <w:szCs w:val="24"/>
              </w:rPr>
              <w:t>推动不具备发展条件的贫困地区村庄</w:t>
            </w:r>
            <w:r>
              <w:rPr>
                <w:sz w:val="24"/>
                <w:szCs w:val="24"/>
              </w:rPr>
              <w:t>5</w:t>
            </w:r>
            <w:r>
              <w:rPr>
                <w:rFonts w:hint="eastAsia"/>
                <w:sz w:val="24"/>
                <w:szCs w:val="24"/>
              </w:rPr>
              <w:t>万人左右整体搬迁脱贫。</w:t>
            </w:r>
          </w:p>
          <w:p>
            <w:pPr>
              <w:spacing w:line="400" w:lineRule="exact"/>
              <w:ind w:firstLine="474" w:firstLineChars="200"/>
              <w:rPr>
                <w:sz w:val="24"/>
                <w:szCs w:val="24"/>
              </w:rPr>
            </w:pPr>
            <w:r>
              <w:rPr>
                <w:rFonts w:hint="eastAsia"/>
                <w:b/>
                <w:bCs/>
                <w:sz w:val="24"/>
                <w:szCs w:val="24"/>
              </w:rPr>
              <w:t>社会保障扶贫。</w:t>
            </w:r>
            <w:r>
              <w:rPr>
                <w:rFonts w:hint="eastAsia"/>
                <w:sz w:val="24"/>
                <w:szCs w:val="24"/>
              </w:rPr>
              <w:t>对丧失劳动能力的贫困人口实施兜底性保障政策，实行低保政策与扶贫支持相衔接。</w:t>
            </w:r>
          </w:p>
          <w:p>
            <w:pPr>
              <w:spacing w:line="400" w:lineRule="exact"/>
              <w:ind w:firstLine="474" w:firstLineChars="200"/>
              <w:rPr>
                <w:sz w:val="24"/>
                <w:szCs w:val="24"/>
              </w:rPr>
            </w:pPr>
            <w:r>
              <w:rPr>
                <w:rFonts w:hint="eastAsia"/>
                <w:b/>
                <w:bCs/>
                <w:sz w:val="24"/>
                <w:szCs w:val="24"/>
              </w:rPr>
              <w:t>应急救助扶贫。</w:t>
            </w:r>
            <w:r>
              <w:rPr>
                <w:rFonts w:hint="eastAsia"/>
                <w:sz w:val="24"/>
                <w:szCs w:val="24"/>
              </w:rPr>
              <w:t>对因病因灾返贫致贫的及时给予医疗救助和临时救助。</w:t>
            </w:r>
          </w:p>
        </w:tc>
      </w:tr>
    </w:tbl>
    <w:p>
      <w:pPr>
        <w:pStyle w:val="4"/>
        <w:spacing w:before="0" w:after="0" w:line="580" w:lineRule="exact"/>
        <w:jc w:val="center"/>
        <w:rPr>
          <w:rFonts w:eastAsia="方正仿宋_GBK"/>
        </w:rPr>
      </w:pPr>
      <w:bookmarkStart w:id="235" w:name="_Toc30367"/>
      <w:r>
        <w:rPr>
          <w:rFonts w:hint="eastAsia" w:eastAsia="方正仿宋_GBK"/>
        </w:rPr>
        <w:t>第二节</w:t>
      </w:r>
      <w:r>
        <w:rPr>
          <w:rFonts w:eastAsia="方正仿宋_GBK"/>
        </w:rPr>
        <w:t xml:space="preserve">  </w:t>
      </w:r>
      <w:r>
        <w:rPr>
          <w:rFonts w:hint="eastAsia" w:eastAsia="方正仿宋_GBK"/>
        </w:rPr>
        <w:t>实行脱贫工作责任制</w:t>
      </w:r>
      <w:bookmarkEnd w:id="234"/>
      <w:bookmarkEnd w:id="235"/>
    </w:p>
    <w:p>
      <w:pPr>
        <w:spacing w:line="580" w:lineRule="exact"/>
        <w:ind w:firstLine="632" w:firstLineChars="200"/>
        <w:rPr>
          <w:color w:val="000000"/>
        </w:rPr>
      </w:pPr>
      <w:r>
        <w:rPr>
          <w:rFonts w:hint="eastAsia"/>
          <w:color w:val="000000"/>
        </w:rPr>
        <w:t>落实党委政府责任，市、县、乡三级逐级负责、层层签订责任书。发挥基层党组织战斗堡垒作用，把脱贫攻坚与</w:t>
      </w:r>
      <w:r>
        <w:rPr>
          <w:color w:val="000000"/>
        </w:rPr>
        <w:t>“</w:t>
      </w:r>
      <w:r>
        <w:rPr>
          <w:rFonts w:hint="eastAsia"/>
          <w:color w:val="000000"/>
        </w:rPr>
        <w:t>双基</w:t>
      </w:r>
      <w:r>
        <w:rPr>
          <w:color w:val="000000"/>
        </w:rPr>
        <w:t>”</w:t>
      </w:r>
      <w:r>
        <w:rPr>
          <w:rFonts w:hint="eastAsia"/>
          <w:color w:val="000000"/>
        </w:rPr>
        <w:t>有机结合起来，选好一把手、配强领导班子，增强带领群众脱贫致富能力。完善考核机制，建立年度脱贫攻坚报告和督察制度，把脱贫攻坚实绩作为选拔任用干部的重要依据纳入干部实绩档案。健全党政机关、人民团体、国有企业定点扶贫机制。动员全社会力量广泛参与扶贫事业，激励各类企业、社会组织、个人自愿采取包干方式参与扶贫。</w:t>
      </w:r>
      <w:r>
        <w:rPr>
          <w:rFonts w:hint="eastAsia"/>
          <w:color w:val="000000"/>
          <w:shd w:val="clear" w:color="auto" w:fill="FFFFFF"/>
        </w:rPr>
        <w:t>继续做好对口支援新疆工作。</w:t>
      </w:r>
    </w:p>
    <w:p>
      <w:pPr>
        <w:pStyle w:val="3"/>
        <w:spacing w:before="0" w:after="0" w:line="580" w:lineRule="exact"/>
        <w:jc w:val="center"/>
        <w:rPr>
          <w:rFonts w:ascii="Times New Roman" w:hAnsi="Times New Roman" w:eastAsia="方正楷体_GBK" w:cs="Times New Roman"/>
        </w:rPr>
      </w:pPr>
      <w:bookmarkStart w:id="236" w:name="_Toc440292140"/>
      <w:bookmarkStart w:id="237" w:name="_Toc440730943"/>
      <w:bookmarkStart w:id="238" w:name="_Toc286394163"/>
      <w:bookmarkStart w:id="239" w:name="_Toc12836"/>
      <w:bookmarkStart w:id="240" w:name="_Toc3319"/>
      <w:r>
        <w:rPr>
          <w:rFonts w:hint="eastAsia" w:ascii="Times New Roman" w:hAnsi="Times New Roman" w:eastAsia="方正楷体_GBK" w:cs="Times New Roman"/>
        </w:rPr>
        <w:t>第二十二章</w:t>
      </w:r>
      <w:r>
        <w:rPr>
          <w:rFonts w:ascii="Times New Roman" w:hAnsi="Times New Roman" w:eastAsia="方正楷体_GBK" w:cs="Times New Roman"/>
        </w:rPr>
        <w:t xml:space="preserve">  </w:t>
      </w:r>
      <w:bookmarkEnd w:id="236"/>
      <w:bookmarkEnd w:id="237"/>
      <w:bookmarkEnd w:id="238"/>
      <w:r>
        <w:rPr>
          <w:rFonts w:hint="eastAsia" w:ascii="Times New Roman" w:hAnsi="Times New Roman" w:eastAsia="方正楷体_GBK" w:cs="Times New Roman"/>
        </w:rPr>
        <w:t>着力增进人民福祉</w:t>
      </w:r>
      <w:bookmarkEnd w:id="239"/>
      <w:bookmarkEnd w:id="240"/>
    </w:p>
    <w:p>
      <w:pPr>
        <w:spacing w:line="580" w:lineRule="exact"/>
        <w:ind w:firstLine="632" w:firstLineChars="200"/>
      </w:pPr>
      <w:r>
        <w:rPr>
          <w:rFonts w:hint="eastAsia"/>
        </w:rPr>
        <w:t>重点解决收入水平不高、基本公共服务供给不足等问题，织密织牢民生保障网，促进公共服务资源均衡配置，着力构建均等化、覆盖广、可持续的基本公共服务体系，提高政府保障能力和民生保障水平，提升社会保障功能和社会事务管理能力，全面建成小康社会。</w:t>
      </w:r>
    </w:p>
    <w:p>
      <w:pPr>
        <w:pStyle w:val="4"/>
        <w:spacing w:before="0" w:after="0" w:line="580" w:lineRule="exact"/>
        <w:jc w:val="center"/>
        <w:rPr>
          <w:rFonts w:eastAsia="方正仿宋_GBK"/>
        </w:rPr>
      </w:pPr>
      <w:bookmarkStart w:id="241" w:name="_Toc286394164"/>
      <w:bookmarkStart w:id="242" w:name="_Toc32665"/>
      <w:bookmarkStart w:id="243" w:name="_Toc440730944"/>
      <w:bookmarkStart w:id="244" w:name="_Toc440292141"/>
      <w:bookmarkStart w:id="245" w:name="_Toc17994"/>
      <w:r>
        <w:rPr>
          <w:rFonts w:hint="eastAsia" w:eastAsia="方正仿宋_GBK"/>
        </w:rPr>
        <w:t>第一节</w:t>
      </w:r>
      <w:r>
        <w:rPr>
          <w:rFonts w:eastAsia="方正仿宋_GBK"/>
        </w:rPr>
        <w:t xml:space="preserve">  </w:t>
      </w:r>
      <w:bookmarkEnd w:id="241"/>
      <w:r>
        <w:rPr>
          <w:rFonts w:hint="eastAsia" w:eastAsia="方正仿宋_GBK"/>
        </w:rPr>
        <w:t>努力促进就业</w:t>
      </w:r>
      <w:bookmarkEnd w:id="242"/>
      <w:bookmarkEnd w:id="243"/>
      <w:bookmarkEnd w:id="244"/>
      <w:bookmarkEnd w:id="245"/>
    </w:p>
    <w:p>
      <w:pPr>
        <w:spacing w:line="580" w:lineRule="exact"/>
        <w:ind w:firstLine="632" w:firstLineChars="200"/>
      </w:pPr>
      <w:r>
        <w:rPr>
          <w:rFonts w:hint="eastAsia"/>
        </w:rPr>
        <w:t>坚持把就业放在更加突出的位置，实施更加积极的就业政策，完善经济发展和扩大就业的联动机制，实现更加充分、更高质量就业，到</w:t>
      </w:r>
      <w:r>
        <w:t>2020</w:t>
      </w:r>
      <w:r>
        <w:rPr>
          <w:rFonts w:hint="eastAsia"/>
        </w:rPr>
        <w:t>年，实现市、县、乡三级公共就业和社会保障服务平台全覆盖。</w:t>
      </w:r>
    </w:p>
    <w:p>
      <w:pPr>
        <w:spacing w:line="580" w:lineRule="exact"/>
        <w:ind w:firstLine="634" w:firstLineChars="200"/>
      </w:pPr>
      <w:r>
        <w:rPr>
          <w:rFonts w:hint="eastAsia"/>
          <w:b/>
          <w:bCs/>
        </w:rPr>
        <w:t>推动就业扩容提质。</w:t>
      </w:r>
      <w:r>
        <w:rPr>
          <w:rFonts w:hint="eastAsia"/>
        </w:rPr>
        <w:t>着力扶持发展吸纳就业能力强的现代服务业、战略性新兴产业、劳动密集型企业和小微企业。在大力推进劳务输出的同时，加快产业集聚区、专业园区建设，发展农村二、三产业，推动农副产品加工业向产业集聚区和专业园区集中布局。</w:t>
      </w:r>
    </w:p>
    <w:p>
      <w:pPr>
        <w:spacing w:line="580" w:lineRule="exact"/>
        <w:ind w:firstLine="634" w:firstLineChars="200"/>
      </w:pPr>
      <w:r>
        <w:rPr>
          <w:rFonts w:hint="eastAsia"/>
          <w:b/>
          <w:bCs/>
        </w:rPr>
        <w:t>做好重点人群的就业。</w:t>
      </w:r>
      <w:r>
        <w:rPr>
          <w:rFonts w:hint="eastAsia"/>
        </w:rPr>
        <w:t>实施大学生就业促进计划和创业引领计划，促进以高校毕业生为重点的青年就业，鼓励外出务工人员返乡创业。统筹做好农村转移劳动力、城乡就业困难人员和退役转业军人的就业，动态消除“零就业家庭”。促进农村劳动力就地、就近就业。完善税费减免、岗位补贴、培训补贴、社会保险补贴、技能鉴定补贴等政策，积极出台相关政策，鼓励企业吸纳“</w:t>
      </w:r>
      <w:r>
        <w:t>4050</w:t>
      </w:r>
      <w:r>
        <w:rPr>
          <w:rFonts w:hint="eastAsia"/>
        </w:rPr>
        <w:t>”人员就业。</w:t>
      </w:r>
    </w:p>
    <w:p>
      <w:pPr>
        <w:spacing w:line="580" w:lineRule="exact"/>
        <w:ind w:firstLine="634" w:firstLineChars="200"/>
      </w:pPr>
      <w:r>
        <w:rPr>
          <w:rFonts w:hint="eastAsia"/>
          <w:b/>
          <w:bCs/>
        </w:rPr>
        <w:t>以职业培训带动就业。</w:t>
      </w:r>
      <w:r>
        <w:rPr>
          <w:rFonts w:hint="eastAsia"/>
        </w:rPr>
        <w:t>加强职业培训和择业教育，全面提高劳动者特别是农村劳动力的技能，对下岗失业人员、农民工等开展多方位、多层次的培训，提高其整体素质。对未能升学的应届高中毕业生等新成长劳动力普遍实行劳动预备制培训。加强公共就业培训服务载体和能力建设，构建劳动者终身职业培训体系。依托信阳涉外职业技术学院创建鄂豫皖涉外劳务培训中心。</w:t>
      </w:r>
    </w:p>
    <w:p>
      <w:pPr>
        <w:spacing w:line="580" w:lineRule="exact"/>
        <w:ind w:firstLine="634" w:firstLineChars="200"/>
      </w:pPr>
      <w:r>
        <w:rPr>
          <w:rFonts w:hint="eastAsia"/>
          <w:b/>
          <w:bCs/>
        </w:rPr>
        <w:t>构建和谐的劳动关系。</w:t>
      </w:r>
      <w:r>
        <w:rPr>
          <w:rFonts w:hint="eastAsia"/>
        </w:rPr>
        <w:t>建立健全制度化、专业化、社会化的公共就业服务体系。完善“三市一库”</w:t>
      </w:r>
      <w:r>
        <w:rPr>
          <w:rStyle w:val="8"/>
        </w:rPr>
        <w:footnoteReference w:id="33"/>
      </w:r>
      <w:r>
        <w:rPr>
          <w:rFonts w:hint="eastAsia"/>
        </w:rPr>
        <w:t>就业服务保障体系，政府、企业、社会多方共同努力合力营造良好从业环境。健全维护劳动者合法权益的体制机制，进一步完善劳动关系调整、劳动争议调解仲裁、劳动保障监察、企业工资分配等劳动者维权机制。完善就业失业监测，增强失业保险制度预防失业、促进就业的功能。</w:t>
      </w:r>
    </w:p>
    <w:p>
      <w:pPr>
        <w:pStyle w:val="4"/>
        <w:spacing w:before="0" w:after="0" w:line="580" w:lineRule="exact"/>
        <w:jc w:val="center"/>
        <w:rPr>
          <w:rFonts w:eastAsia="方正仿宋_GBK"/>
        </w:rPr>
      </w:pPr>
      <w:bookmarkStart w:id="246" w:name="_Toc286394165"/>
      <w:bookmarkStart w:id="247" w:name="_Toc24874"/>
      <w:bookmarkStart w:id="248" w:name="_Toc440730945"/>
      <w:bookmarkStart w:id="249" w:name="_Toc3297"/>
      <w:bookmarkStart w:id="250" w:name="_Toc440292142"/>
      <w:r>
        <w:rPr>
          <w:rFonts w:hint="eastAsia" w:eastAsia="方正仿宋_GBK"/>
        </w:rPr>
        <w:t>第二节</w:t>
      </w:r>
      <w:r>
        <w:rPr>
          <w:rFonts w:eastAsia="方正仿宋_GBK"/>
        </w:rPr>
        <w:t xml:space="preserve">  </w:t>
      </w:r>
      <w:bookmarkEnd w:id="246"/>
      <w:r>
        <w:rPr>
          <w:rFonts w:hint="eastAsia" w:eastAsia="方正仿宋_GBK"/>
        </w:rPr>
        <w:t>积极增加收入</w:t>
      </w:r>
      <w:bookmarkEnd w:id="247"/>
      <w:bookmarkEnd w:id="248"/>
      <w:bookmarkEnd w:id="249"/>
      <w:bookmarkEnd w:id="250"/>
    </w:p>
    <w:p>
      <w:pPr>
        <w:widowControl/>
        <w:shd w:val="clear" w:color="auto" w:fill="FFFFFF"/>
        <w:adjustRightInd w:val="0"/>
        <w:spacing w:line="580" w:lineRule="exact"/>
        <w:ind w:firstLine="632" w:firstLineChars="200"/>
      </w:pPr>
      <w:r>
        <w:rPr>
          <w:rFonts w:hint="eastAsia"/>
        </w:rPr>
        <w:t>大力促进农民增收。以健全富农强农政策体系为着力点，构建农民增收的长效机制。大力发展劳务经济，充分发挥各级人力资源市场平台作用，加强与各用工单位沟通联系，紧紧围绕市场需求，大力开展订单式培训，提高劳务输出的组织化程度，培育区域劳务品牌，提高农民工资性收入。完善支农惠农政策，扩大和提高涉农补贴范围和标准，增加农民转移性收入。探索农村土地承包经营权和宅基地使用权的财产化形式，提高农民财产性收入。</w:t>
      </w:r>
    </w:p>
    <w:p>
      <w:pPr>
        <w:widowControl/>
        <w:shd w:val="clear" w:color="auto" w:fill="FFFFFF"/>
        <w:adjustRightInd w:val="0"/>
        <w:spacing w:line="580" w:lineRule="exact"/>
        <w:ind w:firstLine="632" w:firstLineChars="200"/>
      </w:pPr>
      <w:r>
        <w:rPr>
          <w:rFonts w:hint="eastAsia"/>
        </w:rPr>
        <w:t>不断提高城镇居民收入。坚持居民收入增长和经济增长同步、劳动报酬提高和劳动生产率提高同步，持续增加城乡居民收入。完善和落实职工工资决定机制、正常增长机制和支付保障机制。完善公务员工资制度。深化事业单位收入分配制度改革，全面实行绩效工资。健全职工工资集体协商制度。扩大居民投资渠道，努力增加居民财产性收入。创新工资指导线、人力资源市场工资指导价位和人工成本预测预警制度，健全劳动关系运行情况快速调查和企业薪酬调查制度。将拖欠工资问题突出的领域和容易发生拖欠的行业纳入重点监控范围，落实清偿欠薪的工程总承包企业负责制、行政司法联动打击恶意欠薪制度。</w:t>
      </w:r>
    </w:p>
    <w:p>
      <w:pPr>
        <w:pStyle w:val="4"/>
        <w:spacing w:before="0" w:after="0" w:line="580" w:lineRule="exact"/>
        <w:jc w:val="center"/>
        <w:rPr>
          <w:rFonts w:eastAsia="方正仿宋_GBK"/>
        </w:rPr>
      </w:pPr>
      <w:bookmarkStart w:id="251" w:name="_Toc286394166"/>
      <w:bookmarkStart w:id="252" w:name="_Toc440292143"/>
      <w:bookmarkStart w:id="253" w:name="_Toc440730946"/>
      <w:bookmarkStart w:id="254" w:name="_Toc18495"/>
      <w:bookmarkStart w:id="255" w:name="_Toc7981"/>
      <w:bookmarkStart w:id="256" w:name="_Toc286394167"/>
      <w:bookmarkStart w:id="257" w:name="_Toc440292144"/>
      <w:bookmarkStart w:id="258" w:name="_Toc440730947"/>
      <w:bookmarkStart w:id="259" w:name="_Toc15564"/>
      <w:r>
        <w:rPr>
          <w:rFonts w:hint="eastAsia" w:eastAsia="方正仿宋_GBK"/>
        </w:rPr>
        <w:t>第三节</w:t>
      </w:r>
      <w:r>
        <w:rPr>
          <w:rFonts w:eastAsia="方正仿宋_GBK"/>
        </w:rPr>
        <w:t xml:space="preserve">  </w:t>
      </w:r>
      <w:bookmarkEnd w:id="251"/>
      <w:r>
        <w:rPr>
          <w:rFonts w:hint="eastAsia" w:eastAsia="方正仿宋_GBK"/>
        </w:rPr>
        <w:t>健全社会保障体系</w:t>
      </w:r>
      <w:bookmarkEnd w:id="252"/>
      <w:bookmarkEnd w:id="253"/>
      <w:bookmarkEnd w:id="254"/>
      <w:bookmarkEnd w:id="255"/>
    </w:p>
    <w:p>
      <w:pPr>
        <w:spacing w:line="580" w:lineRule="exact"/>
        <w:ind w:firstLine="632" w:firstLineChars="200"/>
        <w:rPr>
          <w:color w:val="000000"/>
        </w:rPr>
      </w:pPr>
      <w:r>
        <w:rPr>
          <w:rFonts w:hint="eastAsia"/>
          <w:color w:val="000000"/>
        </w:rPr>
        <w:t>坚持全民覆盖、保障适度、权责清晰、运行高效，稳步提高社会保障统筹层次和水平，建立健全更加公平、更可持续的社会保障制度。</w:t>
      </w:r>
    </w:p>
    <w:p>
      <w:pPr>
        <w:spacing w:line="580" w:lineRule="exact"/>
        <w:ind w:firstLine="634" w:firstLineChars="200"/>
        <w:rPr>
          <w:color w:val="000000"/>
        </w:rPr>
      </w:pPr>
      <w:r>
        <w:rPr>
          <w:rFonts w:hint="eastAsia"/>
          <w:b/>
          <w:bCs/>
          <w:color w:val="000000"/>
        </w:rPr>
        <w:t>完善社会保险体系。</w:t>
      </w:r>
      <w:r>
        <w:rPr>
          <w:rFonts w:hint="eastAsia"/>
          <w:color w:val="000000"/>
        </w:rPr>
        <w:t>实施全民参保登记计划，基本实现法定人员全覆盖，大幅提升灵活就业人员、农民工等群体参加职工保险比例。完善城镇职工基本养老保险制度，构建包括职业年金、企业年金和商业保险的多层次养老保险体系。健全多缴多得激励机制，积极参加基础养老金全国统筹，完善职工养老保险个人账户制度，完善城乡居民基本养老保险制度，建立基本养老金合理调整机制。实现失业、工伤保险省级统筹，优化调整适用范围。适当降低社会保险费率。</w:t>
      </w:r>
      <w:r>
        <w:rPr>
          <w:color w:val="000000"/>
        </w:rPr>
        <w:t xml:space="preserve"> </w:t>
      </w:r>
    </w:p>
    <w:p>
      <w:pPr>
        <w:spacing w:line="580" w:lineRule="exact"/>
        <w:ind w:firstLine="634" w:firstLineChars="200"/>
        <w:rPr>
          <w:color w:val="000000"/>
        </w:rPr>
      </w:pPr>
      <w:r>
        <w:rPr>
          <w:rFonts w:hint="eastAsia"/>
          <w:b/>
          <w:bCs/>
          <w:color w:val="000000"/>
        </w:rPr>
        <w:t>完善基本医疗保险制度。</w:t>
      </w:r>
      <w:r>
        <w:rPr>
          <w:rFonts w:hint="eastAsia"/>
          <w:color w:val="000000"/>
        </w:rPr>
        <w:t>健全医疗保险稳定可持续筹资和报销比例调整机制，完善城乡居民大病保险制度。改革医保支付方式，合理控制医疗费用。改进个人账户，开展门诊费用统筹。实现跨省异地安置退休人员住院医疗费用直接结算。整合城乡居民医保政策和经办管理。推动商业保险与基本医保、重特大疾病医疗救助等有效衔接，鼓励发展补充医疗保险和商业健康保险，鼓励商业保险参与医保经办。将生育保险和基本医疗保险合并实施。</w:t>
      </w:r>
    </w:p>
    <w:p>
      <w:pPr>
        <w:spacing w:line="580" w:lineRule="exact"/>
        <w:ind w:firstLine="634" w:firstLineChars="200"/>
        <w:rPr>
          <w:color w:val="000000"/>
        </w:rPr>
      </w:pPr>
      <w:r>
        <w:rPr>
          <w:rFonts w:hint="eastAsia"/>
          <w:b/>
          <w:bCs/>
          <w:color w:val="000000"/>
        </w:rPr>
        <w:t>健全社会救助体系。</w:t>
      </w:r>
      <w:r>
        <w:rPr>
          <w:rFonts w:hint="eastAsia"/>
          <w:color w:val="000000"/>
        </w:rPr>
        <w:t>完善以最低生活保障、特困人员供养、受灾人员救助等基本生活救助和医疗、教育、住房、就业等专项救助相结合的社会救助体系。</w:t>
      </w:r>
      <w:r>
        <w:rPr>
          <w:rFonts w:hint="eastAsia"/>
          <w:color w:val="000000"/>
          <w:kern w:val="0"/>
        </w:rPr>
        <w:t>全面建立困难家庭经济状况核对机制，推动社会救助信息共享，实现精准救助。建立健全“一门受理、协同办理”机制，方便服务群众。</w:t>
      </w:r>
      <w:r>
        <w:rPr>
          <w:rFonts w:hint="eastAsia"/>
          <w:color w:val="000000"/>
        </w:rPr>
        <w:t>加强基层流浪乞讨救助服务设施建设。</w:t>
      </w:r>
    </w:p>
    <w:p>
      <w:pPr>
        <w:spacing w:line="580" w:lineRule="exact"/>
        <w:ind w:firstLine="634" w:firstLineChars="200"/>
        <w:rPr>
          <w:color w:val="000000"/>
        </w:rPr>
      </w:pPr>
      <w:r>
        <w:rPr>
          <w:rFonts w:hint="eastAsia"/>
          <w:b/>
          <w:bCs/>
          <w:color w:val="000000"/>
        </w:rPr>
        <w:t>支持社会福利和慈善事业发展。</w:t>
      </w:r>
      <w:r>
        <w:rPr>
          <w:rFonts w:hint="eastAsia"/>
          <w:color w:val="000000"/>
        </w:rPr>
        <w:t>健全</w:t>
      </w:r>
      <w:r>
        <w:rPr>
          <w:rFonts w:hint="eastAsia"/>
          <w:color w:val="000000"/>
          <w:kern w:val="0"/>
        </w:rPr>
        <w:t>以扶老、助残、救孤、济困为重点的社会福利制度。</w:t>
      </w:r>
      <w:r>
        <w:rPr>
          <w:rFonts w:hint="eastAsia"/>
          <w:color w:val="000000"/>
        </w:rPr>
        <w:t>加强优抚安置工作。发展公益性基本殡葬服务。加快公办福利机构改革，优化布局和资源共享。加强福利彩票发行与运营监管，充分发挥福彩基金的公益功能。支持慈善事业发展，健全经常性社会捐助机制。广泛动员社会力量开展社会救济和社会互助、志愿服务活动。</w:t>
      </w:r>
    </w:p>
    <w:p>
      <w:pPr>
        <w:pStyle w:val="4"/>
        <w:spacing w:before="0" w:after="0" w:line="580" w:lineRule="exact"/>
        <w:jc w:val="center"/>
        <w:rPr>
          <w:rFonts w:eastAsia="方正仿宋_GBK"/>
        </w:rPr>
      </w:pPr>
      <w:bookmarkStart w:id="260" w:name="_Toc29394"/>
      <w:r>
        <w:rPr>
          <w:rFonts w:hint="eastAsia" w:eastAsia="方正仿宋_GBK"/>
        </w:rPr>
        <w:t>第四节</w:t>
      </w:r>
      <w:r>
        <w:rPr>
          <w:rFonts w:eastAsia="方正仿宋_GBK"/>
        </w:rPr>
        <w:t xml:space="preserve">  </w:t>
      </w:r>
      <w:r>
        <w:rPr>
          <w:rFonts w:hint="eastAsia" w:eastAsia="方正仿宋_GBK"/>
        </w:rPr>
        <w:t>提高全民健康水平</w:t>
      </w:r>
      <w:bookmarkEnd w:id="256"/>
      <w:bookmarkEnd w:id="257"/>
      <w:bookmarkEnd w:id="258"/>
      <w:bookmarkEnd w:id="259"/>
      <w:bookmarkEnd w:id="260"/>
    </w:p>
    <w:p>
      <w:pPr>
        <w:spacing w:line="580" w:lineRule="exact"/>
        <w:ind w:firstLine="632" w:firstLineChars="200"/>
      </w:pPr>
      <w:r>
        <w:rPr>
          <w:rFonts w:hint="eastAsia"/>
        </w:rPr>
        <w:t>建立健全覆盖全市城乡居民的基本医疗卫生制度，为群众提供安全、有效、方便、价廉的医疗卫生服务，坚持计划生育基本国策，积极发展体育事业，提高全民身体素质和健康水平。</w:t>
      </w:r>
    </w:p>
    <w:p>
      <w:pPr>
        <w:spacing w:line="580" w:lineRule="exact"/>
        <w:ind w:firstLine="634" w:firstLineChars="200"/>
      </w:pPr>
      <w:r>
        <w:rPr>
          <w:rFonts w:hint="eastAsia"/>
          <w:b/>
          <w:bCs/>
        </w:rPr>
        <w:t>全面深化医药卫生体制改革。</w:t>
      </w:r>
      <w:r>
        <w:rPr>
          <w:rFonts w:hint="eastAsia"/>
        </w:rPr>
        <w:t>坚持公立医院公益性的基本定位，统筹推进医疗、医保、医药改革，破除公立医院逐利机制，建立维护公益性、调动积极性、保障可持续的运行新机制。建立符合行业特点的人事薪酬制度。全面落实医师多点执业。大力发展社会办医，引导社会办医向高水平、品牌化、规模化发展，培育打造一批具有较高知名度和市场竞争力的社会办医疗机构，推进非营利性民营医院和公立医院同等待遇。完善基本药物制度，深化药品生产流通领域改革，健全药品供应保障机制。加强医疗质量监管，完善纠纷调解机制，构建和谐医患关系。</w:t>
      </w:r>
    </w:p>
    <w:p>
      <w:pPr>
        <w:spacing w:line="580" w:lineRule="exact"/>
        <w:ind w:firstLine="634" w:firstLineChars="200"/>
      </w:pPr>
      <w:r>
        <w:rPr>
          <w:rFonts w:hint="eastAsia"/>
          <w:b/>
          <w:bCs/>
        </w:rPr>
        <w:t>完善医疗卫生服务体系。</w:t>
      </w:r>
      <w:r>
        <w:rPr>
          <w:rFonts w:hint="eastAsia"/>
        </w:rPr>
        <w:t>优化医疗机构资源和布局，构建布局合理、分工协作的医疗服务体系和分级诊疗就医格局。推动建设一批市级综合医院和紧缺型专科医院。提升县级医院临床重点专科能力，加快乡镇卫生院、社区卫生服务机构标准化建设，加强以全科医生、家庭医生为重点的基层医疗卫生人才培养，到</w:t>
      </w:r>
      <w:r>
        <w:t>2020</w:t>
      </w:r>
      <w:r>
        <w:rPr>
          <w:rFonts w:hint="eastAsia"/>
        </w:rPr>
        <w:t>年，基本实现每万人有</w:t>
      </w:r>
      <w:r>
        <w:t>2-3</w:t>
      </w:r>
      <w:r>
        <w:rPr>
          <w:rFonts w:hint="eastAsia"/>
        </w:rPr>
        <w:t>名全科医生，每个乡镇卫生院有</w:t>
      </w:r>
      <w:r>
        <w:t>2</w:t>
      </w:r>
      <w:r>
        <w:rPr>
          <w:rFonts w:hint="eastAsia"/>
        </w:rPr>
        <w:t>名全科医生，全面提高县域医疗卫生服务能力。加强疾病预防控制、妇幼保健、采供血、卫生应急等薄弱环节建设，加强重大传染病、慢性病、精神病、地方病等综合防治和职业病危害防治，通过多种方式降低大病慢性病医疗费用。倡导健康生活方式，加强心理健康服务。加强人口健康信息化建设，促进健康服务与云计算、大数据、物联网、移动医疗等技术的深度融合，引导健康服务新型业态有序发展。</w:t>
      </w:r>
    </w:p>
    <w:p>
      <w:pPr>
        <w:spacing w:line="580" w:lineRule="exact"/>
        <w:ind w:firstLine="634" w:firstLineChars="200"/>
      </w:pPr>
      <w:r>
        <w:rPr>
          <w:rFonts w:hint="eastAsia"/>
          <w:b/>
          <w:bCs/>
        </w:rPr>
        <w:t>促进中医药传承发展。</w:t>
      </w:r>
      <w:r>
        <w:rPr>
          <w:rFonts w:hint="eastAsia"/>
        </w:rPr>
        <w:t>加强中医药医疗保健服务体系建设，积极促进中医药养生保健、健康管理等特色服务。加强市级中医机构临床专科和重点学科建设，完善提升县级中医院服务能力。加快中医药科技进步，加强中医药国际交流与合作。推进中医药文化传承与中药产业发展，加强中药材保护和发展，促进中药材种植业绿色发展，加快推进中药现代化。推动高校设立中医药健康服务相关专业，强化中医高水平领军人才和基层中医药人员的培养。</w:t>
      </w:r>
    </w:p>
    <w:p>
      <w:pPr>
        <w:spacing w:line="580" w:lineRule="exact"/>
        <w:ind w:firstLine="634" w:firstLineChars="200"/>
      </w:pPr>
      <w:r>
        <w:rPr>
          <w:rFonts w:hint="eastAsia"/>
          <w:b/>
          <w:bCs/>
        </w:rPr>
        <w:t>广泛开展全民健身运动。</w:t>
      </w:r>
      <w:r>
        <w:rPr>
          <w:rFonts w:hint="eastAsia"/>
        </w:rPr>
        <w:t>继续加强公共体育设施和全民健身公共服务体系建设，开展健身指导和体质监测，健全群众体育组织网络、协会网络和社会体育指导员网络，提高全民健康素质。鼓励社会资本参与公共体育设施的建设运营。加大公共体育场馆和设施免费、低收费向社会开放力度。丰富体育赛事活动，积极承接和举办重大体育赛事，促进全民健身与竞技体育全面发展。以商城县、新县为试点，促进全民健身和社会体育产业发展。积极培育和引导体育消费，推动体育产业与健康养生、文化旅游等相关产业的融合发展。</w:t>
      </w:r>
    </w:p>
    <w:p>
      <w:pPr>
        <w:spacing w:line="580" w:lineRule="exact"/>
        <w:ind w:firstLine="634" w:firstLineChars="200"/>
      </w:pPr>
      <w:r>
        <w:rPr>
          <w:rFonts w:hint="eastAsia"/>
          <w:b/>
          <w:bCs/>
        </w:rPr>
        <w:t>保障食品药品安全。</w:t>
      </w:r>
      <w:r>
        <w:rPr>
          <w:rFonts w:hint="eastAsia"/>
        </w:rPr>
        <w:t>实施食品安全战略，健全严密高效、社会共治的食品药品质量安全治理体系，保障饮食用药安全。严格食品安全标准，规范药品研制生产流通和使用。重点加强基层监管能力建设，加大农村食品药品安全治理力度，完善对网络销售食品药品的监管。</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eastAsia="方正小标宋_GBK"/>
                <w:sz w:val="28"/>
                <w:szCs w:val="24"/>
              </w:rPr>
            </w:pPr>
            <w:r>
              <w:rPr>
                <w:rFonts w:hint="eastAsia" w:eastAsia="方正小标宋_GBK"/>
                <w:sz w:val="28"/>
                <w:szCs w:val="24"/>
              </w:rPr>
              <w:t>专栏</w:t>
            </w:r>
            <w:r>
              <w:rPr>
                <w:rFonts w:eastAsia="方正小标宋_GBK"/>
                <w:sz w:val="28"/>
                <w:szCs w:val="24"/>
              </w:rPr>
              <w:t>34:</w:t>
            </w:r>
            <w:r>
              <w:rPr>
                <w:rFonts w:hint="eastAsia" w:eastAsia="方正小标宋_GBK"/>
                <w:sz w:val="28"/>
                <w:szCs w:val="24"/>
              </w:rPr>
              <w:t>全民健康水平提升重点工程</w:t>
            </w:r>
            <w:r>
              <w:rPr>
                <w:rFonts w:eastAsia="方正小标宋_GBK"/>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tcBorders>
              <w:top w:val="single" w:color="auto" w:sz="4" w:space="0"/>
              <w:left w:val="single" w:color="auto" w:sz="4" w:space="0"/>
              <w:bottom w:val="single" w:color="auto" w:sz="4" w:space="0"/>
              <w:right w:val="single" w:color="auto" w:sz="4" w:space="0"/>
            </w:tcBorders>
            <w:vAlign w:val="top"/>
          </w:tcPr>
          <w:p>
            <w:pPr>
              <w:spacing w:line="400" w:lineRule="exact"/>
              <w:ind w:firstLine="634" w:firstLineChars="200"/>
              <w:rPr>
                <w:color w:val="000000"/>
              </w:rPr>
            </w:pPr>
            <w:r>
              <w:rPr>
                <w:rFonts w:hint="eastAsia"/>
                <w:b/>
                <w:bCs/>
              </w:rPr>
              <w:t>优质医疗资源扩增工程。</w:t>
            </w:r>
            <w:r>
              <w:rPr>
                <w:rFonts w:hint="eastAsia"/>
              </w:rPr>
              <w:t>加强市中心医院儿科、肿瘤科、妇产科等科室建设，建成市中心医院羊山分院，将市中心医院打造成豫南区域医疗中心。鼓励市中心医院、</w:t>
            </w:r>
            <w:r>
              <w:t>154</w:t>
            </w:r>
            <w:r>
              <w:rPr>
                <w:rFonts w:hint="eastAsia"/>
              </w:rPr>
              <w:t>医院等三级医院在符合条件的县建立分院，推动建设传染病医院、儿童医院、精神病医院等一批专科医院。</w:t>
            </w:r>
          </w:p>
          <w:p>
            <w:pPr>
              <w:spacing w:line="400" w:lineRule="exact"/>
              <w:ind w:firstLine="634" w:firstLineChars="200"/>
            </w:pPr>
            <w:r>
              <w:rPr>
                <w:rFonts w:hint="eastAsia"/>
                <w:b/>
                <w:bCs/>
              </w:rPr>
              <w:t>推进县乡医疗卫生机构标准化建设。</w:t>
            </w:r>
            <w:r>
              <w:rPr>
                <w:rFonts w:hint="eastAsia"/>
              </w:rPr>
              <w:t>推进县级综合医院（含中医医院）标准化建设，加强县级临床重点专科建设和基层人才培养，鼓励有条件的县级综合医院在边远乡镇建立分院。加强基层医疗卫生服务体系建设，实施一批乡镇卫生院标准化建设项目。</w:t>
            </w:r>
          </w:p>
          <w:p>
            <w:pPr>
              <w:spacing w:line="400" w:lineRule="exact"/>
              <w:ind w:firstLine="634" w:firstLineChars="200"/>
            </w:pPr>
            <w:r>
              <w:rPr>
                <w:rFonts w:hint="eastAsia"/>
                <w:b/>
                <w:bCs/>
              </w:rPr>
              <w:t>加强公共卫生服务体系建设。</w:t>
            </w:r>
            <w:r>
              <w:rPr>
                <w:rFonts w:hint="eastAsia"/>
              </w:rPr>
              <w:t>建设市公共卫生服务中心、县区儿童医院、圣德国际医院等项目，加强市疾控中心建设，将其打造成全市疾病预防控制中心。加强专业公共卫生机构建设，重点改善精神卫生、妇幼保健、采供血、卫生监督等机构的设施条件。</w:t>
            </w:r>
          </w:p>
          <w:p>
            <w:pPr>
              <w:spacing w:line="400" w:lineRule="exact"/>
              <w:ind w:firstLine="634" w:firstLineChars="200"/>
            </w:pPr>
            <w:r>
              <w:rPr>
                <w:rFonts w:hint="eastAsia"/>
                <w:b/>
                <w:bCs/>
              </w:rPr>
              <w:t>加强人口健康信息化建设。</w:t>
            </w:r>
            <w:r>
              <w:rPr>
                <w:rFonts w:hint="eastAsia"/>
              </w:rPr>
              <w:t>进一步加强市、县级人口健康信息平台、河南省基层医疗卫生机构管理信息系统（云计算模式）、远程医疗服务平台、信息惠民工程居民健康卡建设，构建上下联动、互联互通、信息共享的人口健康信息网络。</w:t>
            </w:r>
          </w:p>
          <w:p>
            <w:pPr>
              <w:spacing w:line="400" w:lineRule="exact"/>
              <w:rPr>
                <w:sz w:val="24"/>
                <w:szCs w:val="24"/>
              </w:rPr>
            </w:pPr>
            <w:r>
              <w:t xml:space="preserve">   </w:t>
            </w:r>
            <w:r>
              <w:rPr>
                <w:rFonts w:hint="eastAsia"/>
                <w:b/>
                <w:bCs/>
                <w:sz w:val="24"/>
                <w:szCs w:val="24"/>
              </w:rPr>
              <w:t>全民健身工程建设。</w:t>
            </w:r>
            <w:r>
              <w:rPr>
                <w:rFonts w:hint="eastAsia"/>
                <w:sz w:val="24"/>
                <w:szCs w:val="24"/>
              </w:rPr>
              <w:t>支持体育与旅游融合发展，培育一批旅游景区、线路和赛事活动，推动大别长淮国家登山健身步道、青少年户外运动基地、南湾湖水上运动基地等体育旅游综合体建设，将信阳打造成具有国内外影响力的山地户外休闲旅游目的地。打造一个品牌，即豫南（大别山）户外运动中心；两个公园，即大别山全民健身公园、信阳市建成区生态体育示范园；三个长廊，即环浉河全民健身长廊、环南湾湖全民健身长廊、震雷山全民健身长廊；四项赛事，即全国自行车冠军赛和全国公路自行车赛、全国环南湾湖百公里徒步挑战赛、全国群众登山大会新县站、国家登山健身步道联赛健康新县站。</w:t>
            </w:r>
            <w:r>
              <w:rPr>
                <w:sz w:val="24"/>
                <w:szCs w:val="24"/>
              </w:rPr>
              <w:t xml:space="preserve">                                                                                                                                                    </w:t>
            </w:r>
          </w:p>
        </w:tc>
      </w:tr>
    </w:tbl>
    <w:p>
      <w:pPr>
        <w:pStyle w:val="4"/>
        <w:spacing w:before="0" w:after="0" w:line="580" w:lineRule="exact"/>
        <w:jc w:val="center"/>
        <w:rPr>
          <w:rFonts w:eastAsia="方正仿宋_GBK"/>
        </w:rPr>
      </w:pPr>
      <w:bookmarkStart w:id="261" w:name="_Toc7571"/>
      <w:bookmarkStart w:id="262" w:name="_Toc440730948"/>
      <w:bookmarkStart w:id="263" w:name="_Toc440292145"/>
      <w:bookmarkStart w:id="264" w:name="_Toc32470"/>
      <w:r>
        <w:rPr>
          <w:rFonts w:hint="eastAsia" w:eastAsia="方正仿宋_GBK"/>
        </w:rPr>
        <w:t>第五节</w:t>
      </w:r>
      <w:r>
        <w:rPr>
          <w:rFonts w:eastAsia="方正仿宋_GBK"/>
        </w:rPr>
        <w:t xml:space="preserve">  </w:t>
      </w:r>
      <w:r>
        <w:rPr>
          <w:rFonts w:hint="eastAsia" w:eastAsia="方正仿宋_GBK"/>
        </w:rPr>
        <w:t>全面做好人口工作</w:t>
      </w:r>
      <w:bookmarkEnd w:id="261"/>
      <w:bookmarkEnd w:id="262"/>
      <w:bookmarkEnd w:id="263"/>
      <w:bookmarkEnd w:id="264"/>
    </w:p>
    <w:p>
      <w:pPr>
        <w:spacing w:line="580" w:lineRule="exact"/>
        <w:ind w:firstLine="632" w:firstLineChars="200"/>
      </w:pPr>
      <w:r>
        <w:rPr>
          <w:rFonts w:hint="eastAsia"/>
        </w:rPr>
        <w:t>全面做好人口工作，统筹解决人口问题，调整完善生育政策，增加养老服务供给，保障妇女和未成年人权益，促进人口长期均衡发展。</w:t>
      </w:r>
    </w:p>
    <w:p>
      <w:pPr>
        <w:spacing w:line="580" w:lineRule="exact"/>
        <w:ind w:firstLine="632" w:firstLineChars="200"/>
      </w:pPr>
      <w:r>
        <w:rPr>
          <w:rFonts w:hint="eastAsia"/>
        </w:rPr>
        <w:t>完善人口发展政策。坚持计划生育基本国策，强化公共服务。全面实施一对夫妇可生育两个孩子政策。加大出生人口性别比失衡综合治理力度，促进人口长期均衡发展。实施优生优育和生殖健康促进计划，加大出生缺陷预防干预力度，提高人口素质。</w:t>
      </w:r>
    </w:p>
    <w:p>
      <w:pPr>
        <w:spacing w:line="580" w:lineRule="exact"/>
        <w:ind w:firstLine="632" w:firstLineChars="200"/>
      </w:pPr>
      <w:r>
        <w:rPr>
          <w:rFonts w:hint="eastAsia"/>
        </w:rPr>
        <w:t>保障妇女儿童权益。坚持男女平等基本国策，实施妇女发展规划，切实保障妇女平等就学、就业、社会保障和参与社会事务的权利。加强未成年人保护，实施儿童发展规划，坚持儿童优先，依法保障儿童生存权、发展权、受保护和参与权。发展妇女儿童事业，实施关爱女孩计划。</w:t>
      </w:r>
    </w:p>
    <w:p>
      <w:pPr>
        <w:spacing w:line="580" w:lineRule="exact"/>
        <w:ind w:firstLine="632" w:firstLineChars="200"/>
      </w:pPr>
      <w:r>
        <w:rPr>
          <w:rFonts w:hint="eastAsia"/>
        </w:rPr>
        <w:t>积极应对人口老龄化的挑战。注重发挥家庭和社区功能，加快建立以居家为基础、社区为依托、机构为补充、医养结合的养老服务体系新格局。优先发展社会养老服务，培育老年产业，推进养老服务设施和涉老服务组织建设，兴建综合性社会福利养老机构。</w:t>
      </w:r>
    </w:p>
    <w:p>
      <w:pPr>
        <w:spacing w:line="580" w:lineRule="exact"/>
        <w:ind w:firstLine="632" w:firstLineChars="200"/>
      </w:pPr>
      <w:r>
        <w:rPr>
          <w:rFonts w:hint="eastAsia"/>
        </w:rPr>
        <w:t>支持残疾人事业。健全残疾人康复和托养服务设施，加强残疾人社会保障，推进残疾人无障碍设施建设，发展残疾人辅助器具事业，创造残疾人平等参与社会生活的条件。</w:t>
      </w:r>
    </w:p>
    <w:p>
      <w:pPr>
        <w:pStyle w:val="4"/>
        <w:spacing w:before="0" w:after="0" w:line="580" w:lineRule="exact"/>
        <w:jc w:val="center"/>
        <w:rPr>
          <w:rFonts w:eastAsia="方正仿宋_GBK"/>
        </w:rPr>
      </w:pPr>
      <w:bookmarkStart w:id="265" w:name="_Toc440730949"/>
      <w:bookmarkStart w:id="266" w:name="_Toc26819"/>
      <w:bookmarkStart w:id="267" w:name="_Toc30210"/>
      <w:r>
        <w:rPr>
          <w:rFonts w:hint="eastAsia" w:eastAsia="方正仿宋_GBK"/>
        </w:rPr>
        <w:t>第六节</w:t>
      </w:r>
      <w:r>
        <w:rPr>
          <w:rFonts w:eastAsia="方正仿宋_GBK"/>
        </w:rPr>
        <w:t xml:space="preserve">  </w:t>
      </w:r>
      <w:r>
        <w:rPr>
          <w:rFonts w:hint="eastAsia" w:eastAsia="方正仿宋_GBK"/>
        </w:rPr>
        <w:t>办好人民满意的教育</w:t>
      </w:r>
      <w:bookmarkEnd w:id="265"/>
      <w:bookmarkEnd w:id="266"/>
      <w:bookmarkEnd w:id="267"/>
    </w:p>
    <w:p>
      <w:pPr>
        <w:widowControl/>
        <w:spacing w:line="580" w:lineRule="exact"/>
        <w:ind w:firstLine="632" w:firstLineChars="200"/>
        <w:rPr>
          <w:color w:val="000000"/>
        </w:rPr>
      </w:pPr>
      <w:r>
        <w:rPr>
          <w:rFonts w:hint="eastAsia"/>
          <w:color w:val="000000"/>
        </w:rPr>
        <w:t>全面贯彻党的教育方针，落实立德树人根本任务，加强社会主义核心价值观教育，培养德智体美全面发展的社会主义建设者和接班人。</w:t>
      </w:r>
    </w:p>
    <w:p>
      <w:pPr>
        <w:widowControl/>
        <w:spacing w:line="580" w:lineRule="exact"/>
        <w:ind w:firstLine="634" w:firstLineChars="200"/>
        <w:rPr>
          <w:color w:val="000000"/>
        </w:rPr>
      </w:pPr>
      <w:r>
        <w:rPr>
          <w:rFonts w:hint="eastAsia"/>
          <w:b/>
          <w:bCs/>
          <w:color w:val="000000"/>
        </w:rPr>
        <w:t>完善基本公共教育服务体系。</w:t>
      </w:r>
      <w:r>
        <w:rPr>
          <w:rFonts w:hint="eastAsia"/>
          <w:color w:val="000000"/>
        </w:rPr>
        <w:t>优化城乡教育资源布局，加大中小学、幼儿园建设力度，新增资源重点向生源集中地区和困难群体倾斜。积极发展学前教育，鼓励普惠性幼儿园发展，加强农村普惠性学前教育，基本普及学前三年教育。推动义务教育均衡发展，科学合理规划布局建设农村寄宿制中学，在中心城区和县城人口集中区域新建中小学校，解决大班额问题。建立城乡统一、重在农村的义务教育经费保障机制，实现“两免一补”经费随学生流动可携带。普及高中阶段教育，率先从建档立卡的家庭经济困难学生实施普通高中免除学杂费。办好特殊教育，实现残疾学生</w:t>
      </w:r>
      <w:r>
        <w:rPr>
          <w:color w:val="000000"/>
        </w:rPr>
        <w:t>12</w:t>
      </w:r>
      <w:r>
        <w:rPr>
          <w:rFonts w:hint="eastAsia"/>
          <w:color w:val="000000"/>
        </w:rPr>
        <w:t>年免费教育。加强留守儿童教育，保障家庭经济困难学生、进城务工人员随迁子女等平等受教育权利。</w:t>
      </w:r>
      <w:r>
        <w:rPr>
          <w:color w:val="000000"/>
        </w:rPr>
        <w:t xml:space="preserve"> </w:t>
      </w:r>
    </w:p>
    <w:p>
      <w:pPr>
        <w:widowControl/>
        <w:spacing w:line="580" w:lineRule="exact"/>
        <w:ind w:firstLine="634" w:firstLineChars="200"/>
        <w:rPr>
          <w:color w:val="000000"/>
        </w:rPr>
      </w:pPr>
      <w:r>
        <w:rPr>
          <w:rFonts w:hint="eastAsia"/>
          <w:b/>
          <w:bCs/>
          <w:color w:val="000000"/>
        </w:rPr>
        <w:t>建立职业教育产教融合新体系。</w:t>
      </w:r>
      <w:r>
        <w:rPr>
          <w:rFonts w:hint="eastAsia"/>
          <w:color w:val="000000"/>
        </w:rPr>
        <w:t>统筹发展各级各类职业教育，保持中等职业学校和普通高中招生规模大体相当。突出职业教育应用型导向，推动专业设置、课程内容、教学方式与生产实践相衔接。推进产教融合、校企合作的应用型人才和技术工人培养模式。加强综合型公共实训基地建设，培育大型职业教育集团。落实好国务院和省政府关于支持职业教育改革发展的政策措施，免除中等职业教育学杂费，完善高职教育发展经费保障机制。</w:t>
      </w:r>
    </w:p>
    <w:p>
      <w:pPr>
        <w:widowControl/>
        <w:spacing w:line="580" w:lineRule="exact"/>
        <w:ind w:firstLine="634" w:firstLineChars="200"/>
        <w:rPr>
          <w:color w:val="000000"/>
        </w:rPr>
      </w:pPr>
      <w:r>
        <w:rPr>
          <w:rFonts w:hint="eastAsia"/>
          <w:b/>
          <w:bCs/>
          <w:color w:val="000000"/>
        </w:rPr>
        <w:t>提升高校办学水平。</w:t>
      </w:r>
      <w:r>
        <w:rPr>
          <w:rFonts w:hint="eastAsia"/>
          <w:color w:val="000000"/>
        </w:rPr>
        <w:t>大力发展高等教育，推动高校专业链、人才链对接区域产业链、创新链，根据产业发展需求，加强高等院校相关学科建设。实施优势特色学科建设工程，重点支持高校结合自身优势和市场需求建设若干优势学科、特色学科。鼓励本市高校加强与省内外、国内外高水平大学交流合作。</w:t>
      </w:r>
    </w:p>
    <w:p>
      <w:pPr>
        <w:widowControl/>
        <w:spacing w:line="580" w:lineRule="exact"/>
        <w:ind w:firstLine="634" w:firstLineChars="200"/>
        <w:rPr>
          <w:rFonts w:hint="eastAsia"/>
          <w:color w:val="000000"/>
        </w:rPr>
      </w:pPr>
      <w:r>
        <w:rPr>
          <w:rFonts w:hint="eastAsia"/>
          <w:b/>
          <w:bCs/>
          <w:color w:val="000000"/>
        </w:rPr>
        <w:t>增强教育改革发展活力。</w:t>
      </w:r>
      <w:r>
        <w:rPr>
          <w:rFonts w:hint="eastAsia"/>
          <w:color w:val="000000"/>
        </w:rPr>
        <w:t>全面实施素质教育，增强学生社会责任感、创新精神、实践能力。加强教师队伍特别是乡村教师队伍建设，深化中小学教师职称制度改革。实施乡村教师支持计划，推进城乡教师交流，促进优质教育资源向薄弱地区延伸。深化考试招生制度改革和教育教学改革。支持和规范民办教育发展，鼓励社会力量和民间资本提供多样化教育服务。提升大别山干部学院办学水平。</w:t>
      </w:r>
    </w:p>
    <w:p>
      <w:pPr>
        <w:widowControl/>
        <w:spacing w:line="580" w:lineRule="exact"/>
        <w:ind w:firstLine="632" w:firstLineChars="200"/>
        <w:rPr>
          <w:color w:val="000000"/>
        </w:rPr>
      </w:pPr>
    </w:p>
    <w:tbl>
      <w:tblPr>
        <w:tblStyle w:val="7"/>
        <w:tblW w:w="8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9" w:type="dxa"/>
            <w:tcBorders>
              <w:top w:val="single" w:color="auto" w:sz="4" w:space="0"/>
              <w:left w:val="single" w:color="auto" w:sz="4" w:space="0"/>
              <w:bottom w:val="single" w:color="auto" w:sz="4" w:space="0"/>
              <w:right w:val="single" w:color="auto" w:sz="4" w:space="0"/>
            </w:tcBorders>
            <w:vAlign w:val="top"/>
          </w:tcPr>
          <w:p>
            <w:pPr>
              <w:adjustRightInd w:val="0"/>
              <w:spacing w:line="400" w:lineRule="exact"/>
              <w:jc w:val="center"/>
            </w:pPr>
            <w:bookmarkStart w:id="268" w:name="_Toc440123035"/>
            <w:r>
              <w:rPr>
                <w:rFonts w:hint="eastAsia" w:eastAsia="方正小标宋_GBK"/>
                <w:sz w:val="28"/>
                <w:szCs w:val="24"/>
              </w:rPr>
              <w:t>专栏</w:t>
            </w:r>
            <w:r>
              <w:rPr>
                <w:rFonts w:eastAsia="方正小标宋_GBK"/>
                <w:sz w:val="28"/>
                <w:szCs w:val="24"/>
              </w:rPr>
              <w:t>35</w:t>
            </w:r>
            <w:r>
              <w:rPr>
                <w:rFonts w:hint="eastAsia" w:eastAsia="方正小标宋_GBK"/>
                <w:sz w:val="28"/>
                <w:szCs w:val="24"/>
              </w:rPr>
              <w:t>：教育领域重点工程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9" w:type="dxa"/>
            <w:tcBorders>
              <w:top w:val="single" w:color="auto" w:sz="4" w:space="0"/>
              <w:left w:val="single" w:color="auto" w:sz="4" w:space="0"/>
              <w:bottom w:val="single" w:color="auto" w:sz="4" w:space="0"/>
              <w:right w:val="single" w:color="auto" w:sz="4" w:space="0"/>
            </w:tcBorders>
            <w:vAlign w:val="top"/>
          </w:tcPr>
          <w:p>
            <w:pPr>
              <w:spacing w:line="400" w:lineRule="exact"/>
              <w:ind w:firstLine="474" w:firstLineChars="200"/>
              <w:rPr>
                <w:sz w:val="24"/>
                <w:szCs w:val="24"/>
              </w:rPr>
            </w:pPr>
            <w:r>
              <w:rPr>
                <w:rFonts w:hint="eastAsia"/>
                <w:b/>
                <w:bCs/>
                <w:sz w:val="24"/>
                <w:szCs w:val="24"/>
              </w:rPr>
              <w:t>基本公共教育。</w:t>
            </w:r>
            <w:r>
              <w:rPr>
                <w:rFonts w:hint="eastAsia"/>
                <w:sz w:val="24"/>
                <w:szCs w:val="24"/>
              </w:rPr>
              <w:t>持续实施学前教育三年行动计划，新建改扩建一批城乡幼儿园；加快义务教育公办学校标准化建设，改造薄弱学校</w:t>
            </w:r>
            <w:r>
              <w:rPr>
                <w:sz w:val="24"/>
                <w:szCs w:val="24"/>
              </w:rPr>
              <w:t>694</w:t>
            </w:r>
            <w:r>
              <w:rPr>
                <w:rFonts w:hint="eastAsia"/>
                <w:sz w:val="24"/>
                <w:szCs w:val="24"/>
              </w:rPr>
              <w:t>所，完成城镇义务教育资源扩充项目</w:t>
            </w:r>
            <w:r>
              <w:rPr>
                <w:sz w:val="24"/>
                <w:szCs w:val="24"/>
              </w:rPr>
              <w:t>89</w:t>
            </w:r>
            <w:r>
              <w:rPr>
                <w:rFonts w:hint="eastAsia"/>
                <w:sz w:val="24"/>
                <w:szCs w:val="24"/>
              </w:rPr>
              <w:t>个，每个县区争取每年新建</w:t>
            </w:r>
            <w:r>
              <w:rPr>
                <w:sz w:val="24"/>
                <w:szCs w:val="24"/>
              </w:rPr>
              <w:t>1-2</w:t>
            </w:r>
            <w:r>
              <w:rPr>
                <w:rFonts w:hint="eastAsia"/>
                <w:sz w:val="24"/>
                <w:szCs w:val="24"/>
              </w:rPr>
              <w:t>所城镇中小学校，彻底解决大班额问题。</w:t>
            </w:r>
          </w:p>
          <w:p>
            <w:pPr>
              <w:spacing w:line="400" w:lineRule="exact"/>
              <w:ind w:firstLine="474" w:firstLineChars="200"/>
              <w:rPr>
                <w:sz w:val="24"/>
                <w:szCs w:val="24"/>
              </w:rPr>
            </w:pPr>
            <w:r>
              <w:rPr>
                <w:rFonts w:hint="eastAsia"/>
                <w:b/>
                <w:bCs/>
                <w:sz w:val="24"/>
                <w:szCs w:val="24"/>
              </w:rPr>
              <w:t>职业教育。</w:t>
            </w:r>
            <w:r>
              <w:rPr>
                <w:rFonts w:hint="eastAsia"/>
                <w:sz w:val="24"/>
                <w:szCs w:val="24"/>
              </w:rPr>
              <w:t>支持创建省级示范性应用技术型本科院校、品牌示范职业院校、品牌示范专业（群）和特色专业（群）。提升平桥职业教育公共实训基地、信阳涉外职业技术学院集团化、品牌化办学水平，加强交流合作，带动一批实训基地发展。</w:t>
            </w:r>
          </w:p>
          <w:p>
            <w:pPr>
              <w:spacing w:line="400" w:lineRule="exact"/>
              <w:ind w:firstLine="474" w:firstLineChars="200"/>
            </w:pPr>
            <w:r>
              <w:rPr>
                <w:rFonts w:hint="eastAsia"/>
                <w:b/>
                <w:bCs/>
                <w:sz w:val="24"/>
                <w:szCs w:val="24"/>
              </w:rPr>
              <w:t>高等教育。</w:t>
            </w:r>
            <w:r>
              <w:rPr>
                <w:rFonts w:hint="eastAsia"/>
                <w:sz w:val="24"/>
                <w:szCs w:val="24"/>
              </w:rPr>
              <w:t>整合潢川县幼儿师范学校和信阳工业学校教育资源，组建潢川职业技术学院。支持信阳师范学院、信阳农林学院、信阳职业技术学院、信阳学院四所高校加快发展，实施高校基础能力建设工程（二期）、优势特色学科建设工程、重点学科提升计划等。</w:t>
            </w:r>
          </w:p>
        </w:tc>
      </w:tr>
    </w:tbl>
    <w:p>
      <w:pPr>
        <w:pStyle w:val="4"/>
        <w:spacing w:before="0" w:after="0" w:line="580" w:lineRule="exact"/>
        <w:jc w:val="center"/>
        <w:rPr>
          <w:rFonts w:eastAsia="方正仿宋_GBK"/>
        </w:rPr>
      </w:pPr>
      <w:bookmarkStart w:id="269" w:name="_Toc17284"/>
      <w:r>
        <w:rPr>
          <w:rFonts w:hint="eastAsia" w:eastAsia="方正仿宋_GBK"/>
        </w:rPr>
        <w:t>第七节</w:t>
      </w:r>
      <w:r>
        <w:rPr>
          <w:rFonts w:eastAsia="方正仿宋_GBK"/>
        </w:rPr>
        <w:t xml:space="preserve">  </w:t>
      </w:r>
      <w:r>
        <w:rPr>
          <w:rFonts w:hint="eastAsia" w:eastAsia="方正仿宋_GBK"/>
        </w:rPr>
        <w:t>健全住房供应体系</w:t>
      </w:r>
      <w:bookmarkEnd w:id="268"/>
      <w:bookmarkEnd w:id="269"/>
    </w:p>
    <w:p>
      <w:pPr>
        <w:spacing w:line="580" w:lineRule="exact"/>
        <w:ind w:firstLine="632" w:firstLineChars="200"/>
        <w:rPr>
          <w:color w:val="000000"/>
          <w:kern w:val="0"/>
        </w:rPr>
      </w:pPr>
      <w:r>
        <w:rPr>
          <w:rFonts w:hint="eastAsia"/>
          <w:color w:val="000000"/>
          <w:kern w:val="0"/>
        </w:rPr>
        <w:t>深化城镇住房制度改革，优化住房供需结构，构建以政府为主提供基本保障、以市场为主满足多层次需求的住房供应体系。</w:t>
      </w:r>
    </w:p>
    <w:p>
      <w:pPr>
        <w:spacing w:line="580" w:lineRule="exact"/>
        <w:ind w:firstLine="634" w:firstLineChars="200"/>
        <w:rPr>
          <w:color w:val="000000"/>
          <w:kern w:val="0"/>
        </w:rPr>
      </w:pPr>
      <w:r>
        <w:rPr>
          <w:rFonts w:hint="eastAsia"/>
          <w:b/>
          <w:bCs/>
          <w:color w:val="000000"/>
          <w:kern w:val="0"/>
        </w:rPr>
        <w:t>完善购租并举的住房制度。</w:t>
      </w:r>
      <w:r>
        <w:rPr>
          <w:rFonts w:hint="eastAsia"/>
          <w:color w:val="000000"/>
          <w:kern w:val="0"/>
        </w:rPr>
        <w:t>以解决城镇新居民住房问题为重点，建立健全购租并举的住房供应体系和制度。对具备购房能力的居民，支持其通过住房市场购买商品住房；对不具备购房能力的居民，支持其通过住房租赁市场租房居住；对符合条件的住房困难家庭，通过提供公共租赁住房或发放租赁补贴保障基本住房需求。</w:t>
      </w:r>
    </w:p>
    <w:p>
      <w:pPr>
        <w:spacing w:line="580" w:lineRule="exact"/>
        <w:ind w:firstLine="634" w:firstLineChars="200"/>
      </w:pPr>
      <w:r>
        <w:rPr>
          <w:rFonts w:hint="eastAsia"/>
          <w:b/>
          <w:bCs/>
          <w:color w:val="000000"/>
          <w:kern w:val="0"/>
        </w:rPr>
        <w:t>提高住房保障水平。</w:t>
      </w:r>
      <w:r>
        <w:rPr>
          <w:rFonts w:hint="eastAsia"/>
          <w:color w:val="000000"/>
          <w:kern w:val="0"/>
        </w:rPr>
        <w:t>继续实施保障性安居工程，将居住证持有人纳入城镇住房保障范围。统筹规划保障性住房、棚户区改造和配套设施建设。完善投资、信贷、土地、税费等支持政策，多元化实施公共租赁住房保障，多渠道筹集公共租赁住房房源。逐步实行实物保障与货币补贴并举，加大租赁补贴发放力度。健全保障性住房投资运营和准入退出管理机制。</w:t>
      </w:r>
    </w:p>
    <w:p>
      <w:pPr>
        <w:spacing w:line="580" w:lineRule="exact"/>
        <w:ind w:firstLine="634" w:firstLineChars="200"/>
        <w:rPr>
          <w:color w:val="000000"/>
          <w:kern w:val="0"/>
        </w:rPr>
      </w:pPr>
      <w:bookmarkStart w:id="270" w:name="_Toc286394171"/>
      <w:bookmarkStart w:id="271" w:name="_Toc440292146"/>
      <w:bookmarkStart w:id="272" w:name="_Toc440730950"/>
      <w:bookmarkStart w:id="273" w:name="_Toc12118"/>
      <w:r>
        <w:rPr>
          <w:rFonts w:hint="eastAsia"/>
          <w:b/>
          <w:bCs/>
          <w:color w:val="000000"/>
          <w:kern w:val="0"/>
        </w:rPr>
        <w:t>促进住房市场健康发展。</w:t>
      </w:r>
      <w:r>
        <w:rPr>
          <w:rFonts w:hint="eastAsia"/>
          <w:color w:val="000000"/>
          <w:kern w:val="0"/>
        </w:rPr>
        <w:t>提高棚改户货币化安置比例，加快农民工市民化，扩大有效需求，打通供需渠道，消化库存，稳定房地产市场。发展旅游地产、养老地产、文化地产等新业态。规范房地产中介服务，实现物业管理全覆盖。加快建筑产业现代化进程，推广“标准化设计、工厂化生产、装配化施工、成品化装修、信息化管理”的新型建筑生产方式。鼓励房地产企业兼并重组，联合组建建筑业企业集团，提高产业集中度。</w:t>
      </w:r>
    </w:p>
    <w:p>
      <w:pPr>
        <w:pStyle w:val="3"/>
        <w:spacing w:before="0" w:after="0" w:line="580" w:lineRule="exact"/>
        <w:jc w:val="center"/>
        <w:rPr>
          <w:rFonts w:ascii="Times New Roman" w:hAnsi="Times New Roman" w:eastAsia="方正楷体_GBK" w:cs="Times New Roman"/>
        </w:rPr>
      </w:pPr>
      <w:bookmarkStart w:id="274" w:name="_Toc29665"/>
      <w:r>
        <w:rPr>
          <w:rFonts w:hint="eastAsia" w:ascii="Times New Roman" w:hAnsi="Times New Roman" w:eastAsia="方正楷体_GBK" w:cs="Times New Roman"/>
        </w:rPr>
        <w:t>第二十三章</w:t>
      </w:r>
      <w:r>
        <w:rPr>
          <w:rFonts w:ascii="Times New Roman" w:hAnsi="Times New Roman" w:eastAsia="方正楷体_GBK" w:cs="Times New Roman"/>
        </w:rPr>
        <w:t xml:space="preserve">  </w:t>
      </w:r>
      <w:bookmarkEnd w:id="270"/>
      <w:r>
        <w:rPr>
          <w:rFonts w:hint="eastAsia" w:ascii="Times New Roman" w:hAnsi="Times New Roman" w:eastAsia="方正楷体_GBK" w:cs="Times New Roman"/>
        </w:rPr>
        <w:t>推进社会治理体系和治理能力现代化</w:t>
      </w:r>
      <w:bookmarkEnd w:id="271"/>
      <w:bookmarkEnd w:id="272"/>
      <w:bookmarkEnd w:id="273"/>
      <w:bookmarkEnd w:id="274"/>
    </w:p>
    <w:p>
      <w:pPr>
        <w:spacing w:line="580" w:lineRule="exact"/>
        <w:ind w:firstLine="632" w:firstLineChars="200"/>
      </w:pPr>
      <w:r>
        <w:rPr>
          <w:rFonts w:hint="eastAsia"/>
        </w:rPr>
        <w:t>加强社会治理方式创新，深入推进平安信阳建设，积极扩大社会主义民主，全面推进依法治市，发展社会主义政治文明，营造更加和谐稳定的社会环境。</w:t>
      </w:r>
    </w:p>
    <w:p>
      <w:pPr>
        <w:pStyle w:val="4"/>
        <w:spacing w:before="0" w:after="0" w:line="580" w:lineRule="exact"/>
        <w:jc w:val="center"/>
        <w:rPr>
          <w:rFonts w:eastAsia="方正仿宋_GBK"/>
        </w:rPr>
      </w:pPr>
      <w:bookmarkStart w:id="275" w:name="_Toc440292147"/>
      <w:bookmarkStart w:id="276" w:name="_Toc20772"/>
      <w:bookmarkStart w:id="277" w:name="_Toc440730951"/>
      <w:bookmarkStart w:id="278" w:name="_Toc16971"/>
      <w:r>
        <w:rPr>
          <w:rFonts w:hint="eastAsia" w:eastAsia="方正仿宋_GBK"/>
        </w:rPr>
        <w:t>第一节</w:t>
      </w:r>
      <w:r>
        <w:rPr>
          <w:rFonts w:eastAsia="方正仿宋_GBK"/>
        </w:rPr>
        <w:t xml:space="preserve">  </w:t>
      </w:r>
      <w:r>
        <w:rPr>
          <w:rFonts w:hint="eastAsia" w:eastAsia="方正仿宋_GBK"/>
        </w:rPr>
        <w:t>健全现代社会治理格局</w:t>
      </w:r>
      <w:bookmarkEnd w:id="275"/>
      <w:bookmarkEnd w:id="276"/>
      <w:bookmarkEnd w:id="277"/>
      <w:bookmarkEnd w:id="278"/>
    </w:p>
    <w:p>
      <w:pPr>
        <w:spacing w:line="580" w:lineRule="exact"/>
        <w:ind w:firstLine="632" w:firstLineChars="200"/>
      </w:pPr>
      <w:r>
        <w:rPr>
          <w:rFonts w:hint="eastAsia"/>
        </w:rPr>
        <w:t>着眼“双安”、推进“双治”、强化“双基”</w:t>
      </w:r>
      <w:r>
        <w:rPr>
          <w:rStyle w:val="8"/>
        </w:rPr>
        <w:footnoteReference w:id="34"/>
      </w:r>
      <w:r>
        <w:rPr>
          <w:rFonts w:hint="eastAsia"/>
        </w:rPr>
        <w:t>，坚持系统治理、依法治理、综合治理和源头治理，完善党委领导、政府主导、社会协同、公众参与、法治保障的社会治理体制。加强社会管理法规、体制、能力建设，推进社会治理精细化，构建全民共建共享的社会治理格局。完善基层民主科学决策机制、矛盾调解化解机制、基层便民服务机制、党风政风监督检查机制四项基础制度，提高基层治理法治化水平。加强城乡基层组织建设，推进村（居）委会治理和服务创新，积极发挥其议事、协调、评议和监督职能，拓展社区网络化管理服务。鼓励社会组织参与社会治理，培育壮大多元社会组织，推进社会组织健康发展。深入开展双拥双建工作，推进军民融合深度发展。</w:t>
      </w:r>
    </w:p>
    <w:p>
      <w:pPr>
        <w:spacing w:line="580" w:lineRule="exact"/>
        <w:ind w:firstLine="632" w:firstLineChars="200"/>
      </w:pPr>
      <w:r>
        <w:rPr>
          <w:rFonts w:hint="eastAsia"/>
        </w:rPr>
        <w:t>加强城乡社区基础设施建设，增强社区服务功能，积极推进社区人才队伍和管理体制建设，逐步建立覆盖面广、主体多元、功能完善、管理先进的社区服务体系。加强流动人口管理</w:t>
      </w:r>
      <w:r>
        <w:t>,</w:t>
      </w:r>
      <w:r>
        <w:rPr>
          <w:rFonts w:hint="eastAsia"/>
        </w:rPr>
        <w:t>建立以居住登记和居住证为核心的“一证通”制度。深入创建文明城市、文明社区、文明村镇、文明行业、文明单位。</w:t>
      </w:r>
    </w:p>
    <w:p>
      <w:pPr>
        <w:spacing w:line="580" w:lineRule="exact"/>
        <w:ind w:firstLine="632" w:firstLineChars="200"/>
      </w:pPr>
      <w:r>
        <w:rPr>
          <w:rFonts w:hint="eastAsia"/>
        </w:rPr>
        <w:t>加强社会治理基础制度建设，建立国家人口基础信息库、统一社会信用代码制度和相关实名登记制度，完善社会信用体系，健全社会心理服务体系和疏导机制、危机干预机制。</w:t>
      </w:r>
    </w:p>
    <w:p>
      <w:pPr>
        <w:pStyle w:val="4"/>
        <w:spacing w:before="0" w:after="0" w:line="580" w:lineRule="exact"/>
        <w:jc w:val="center"/>
        <w:rPr>
          <w:rFonts w:eastAsia="方正仿宋_GBK"/>
        </w:rPr>
      </w:pPr>
      <w:bookmarkStart w:id="279" w:name="_Toc31225"/>
      <w:bookmarkStart w:id="280" w:name="_Toc339"/>
      <w:bookmarkStart w:id="281" w:name="_Toc440730952"/>
      <w:bookmarkStart w:id="282" w:name="_Toc440292148"/>
      <w:r>
        <w:rPr>
          <w:rFonts w:hint="eastAsia" w:eastAsia="方正仿宋_GBK"/>
        </w:rPr>
        <w:t>第二节</w:t>
      </w:r>
      <w:r>
        <w:rPr>
          <w:rFonts w:eastAsia="方正仿宋_GBK"/>
        </w:rPr>
        <w:t xml:space="preserve">  </w:t>
      </w:r>
      <w:r>
        <w:rPr>
          <w:rFonts w:hint="eastAsia" w:eastAsia="方正仿宋_GBK"/>
        </w:rPr>
        <w:t>预防和化解社会矛盾</w:t>
      </w:r>
      <w:bookmarkEnd w:id="279"/>
      <w:bookmarkEnd w:id="280"/>
      <w:bookmarkEnd w:id="281"/>
      <w:bookmarkEnd w:id="282"/>
    </w:p>
    <w:p>
      <w:pPr>
        <w:spacing w:line="580" w:lineRule="exact"/>
        <w:ind w:firstLine="632" w:firstLineChars="200"/>
      </w:pPr>
      <w:bookmarkStart w:id="283" w:name="_Toc3437"/>
      <w:bookmarkStart w:id="284" w:name="_Toc440730953"/>
      <w:bookmarkStart w:id="285" w:name="_Toc440292149"/>
      <w:r>
        <w:rPr>
          <w:rFonts w:hint="eastAsia"/>
        </w:rPr>
        <w:t>建立畅通有序的诉求表达、心理干预、矛盾调处、权益保障机制，引导群众依法行使权利、表达诉求、解决纠纷。健全重大决策社会稳定风险评估机制</w:t>
      </w:r>
      <w:r>
        <w:t>,</w:t>
      </w:r>
      <w:r>
        <w:rPr>
          <w:rFonts w:hint="eastAsia"/>
        </w:rPr>
        <w:t>完善公共决策社会公示、公众听证、专家咨询论证及基层民意调查制度。健全及时就地解决问题机制，完善人民调解、行政调解、司法调解联动工作体系，发展行业性、专业性人民调解组织，完善人大代表、政协委员、社会组织等第三方参与的矛盾纠纷调解机制，及时化解影响社会稳定突出问题，最大限度预防和减少群体性事件的发生。创新群众工作方法，发挥互联网民声手机短信平台作用，完善信访工作责任制和考核评价体系，加强和改进信访工作。</w:t>
      </w:r>
    </w:p>
    <w:p>
      <w:pPr>
        <w:pStyle w:val="4"/>
        <w:spacing w:before="0" w:after="0" w:line="580" w:lineRule="exact"/>
        <w:jc w:val="center"/>
        <w:rPr>
          <w:rFonts w:eastAsia="方正仿宋_GBK"/>
        </w:rPr>
      </w:pPr>
      <w:bookmarkStart w:id="286" w:name="_Toc26076"/>
      <w:r>
        <w:rPr>
          <w:rFonts w:hint="eastAsia" w:eastAsia="方正仿宋_GBK"/>
        </w:rPr>
        <w:t>第三节</w:t>
      </w:r>
      <w:r>
        <w:rPr>
          <w:rFonts w:eastAsia="方正仿宋_GBK"/>
        </w:rPr>
        <w:t xml:space="preserve">  </w:t>
      </w:r>
      <w:r>
        <w:rPr>
          <w:rFonts w:hint="eastAsia" w:eastAsia="方正仿宋_GBK"/>
        </w:rPr>
        <w:t>发展社会主义民主政治</w:t>
      </w:r>
      <w:bookmarkEnd w:id="283"/>
      <w:bookmarkEnd w:id="284"/>
      <w:bookmarkEnd w:id="285"/>
      <w:bookmarkEnd w:id="286"/>
    </w:p>
    <w:p>
      <w:pPr>
        <w:spacing w:line="580" w:lineRule="exact"/>
        <w:ind w:firstLine="632" w:firstLineChars="200"/>
      </w:pPr>
      <w:r>
        <w:rPr>
          <w:rFonts w:hint="eastAsia"/>
          <w:color w:val="000000"/>
        </w:rPr>
        <w:t>坚持和完善人民代表大会制度、中国共产党领导的多党合作和政治协商制度以及基层群众自治制度等基本政治制度，扩大公民有序政治参与。</w:t>
      </w:r>
      <w:r>
        <w:rPr>
          <w:rFonts w:hint="eastAsia"/>
        </w:rPr>
        <w:t>支持人大及其常委会依法履行职权，密切人大代表同人民群众联系，发挥代表反映民意集中民智的作用。支持人民政协围绕团结和民主两大主题履行职能，加强经济社会重大问题和涉及群众切身利益问题的协商。</w:t>
      </w:r>
      <w:r>
        <w:rPr>
          <w:rFonts w:hint="eastAsia"/>
          <w:color w:val="000000"/>
        </w:rPr>
        <w:t>加强协商民主制度建设，构建程序合理、环节完整的协商民主体系，拓宽国家政权机关、政协组织、党派团体、基层组织、社会组织的协商渠道。完善基层民主制度，畅通民主渠道，健全基层选举、议事、公开、述职、问责等机制。</w:t>
      </w:r>
      <w:r>
        <w:rPr>
          <w:rFonts w:hint="eastAsia"/>
        </w:rPr>
        <w:t>积极推进异地信阳商会建设，把信阳籍成功人士和各类人才团结组织起来，发挥民智优势。坚持以职工代表大会为基本形式的企业民主制度。</w:t>
      </w:r>
    </w:p>
    <w:p>
      <w:pPr>
        <w:pStyle w:val="4"/>
        <w:spacing w:before="0" w:after="0" w:line="580" w:lineRule="exact"/>
        <w:jc w:val="center"/>
        <w:rPr>
          <w:rFonts w:eastAsia="方正仿宋_GBK"/>
        </w:rPr>
      </w:pPr>
      <w:bookmarkStart w:id="287" w:name="_Toc13912"/>
      <w:bookmarkStart w:id="288" w:name="_Toc15069"/>
      <w:bookmarkStart w:id="289" w:name="_Toc440730954"/>
      <w:bookmarkStart w:id="290" w:name="_Toc440292150"/>
      <w:r>
        <w:rPr>
          <w:rFonts w:hint="eastAsia" w:eastAsia="方正仿宋_GBK"/>
        </w:rPr>
        <w:t>第四节</w:t>
      </w:r>
      <w:r>
        <w:rPr>
          <w:rFonts w:eastAsia="方正仿宋_GBK"/>
        </w:rPr>
        <w:t xml:space="preserve">  </w:t>
      </w:r>
      <w:r>
        <w:rPr>
          <w:rFonts w:hint="eastAsia" w:eastAsia="方正仿宋_GBK"/>
        </w:rPr>
        <w:t>强化法治的引领规范作用</w:t>
      </w:r>
      <w:bookmarkEnd w:id="287"/>
      <w:bookmarkEnd w:id="288"/>
      <w:bookmarkEnd w:id="289"/>
      <w:bookmarkEnd w:id="290"/>
    </w:p>
    <w:p>
      <w:pPr>
        <w:spacing w:line="580" w:lineRule="exact"/>
        <w:ind w:firstLine="632" w:firstLineChars="200"/>
      </w:pPr>
      <w:r>
        <w:rPr>
          <w:rFonts w:hint="eastAsia"/>
        </w:rPr>
        <w:t>坚持依法治市、依法执政、依法行政共同推进，法治政府、法治社会一体建设，推动法治建设水平进入全省先进行列。</w:t>
      </w:r>
    </w:p>
    <w:p>
      <w:pPr>
        <w:widowControl/>
        <w:spacing w:line="580" w:lineRule="exact"/>
        <w:ind w:firstLine="634" w:firstLineChars="200"/>
      </w:pPr>
      <w:r>
        <w:rPr>
          <w:rFonts w:hint="eastAsia"/>
          <w:b/>
          <w:bCs/>
        </w:rPr>
        <w:t>积极制定地方性法规。</w:t>
      </w:r>
      <w:r>
        <w:rPr>
          <w:rFonts w:hint="eastAsia"/>
        </w:rPr>
        <w:t>突出城乡建设与管理、环境保护、历史文化保护三方面，就信阳市城阳城址遗址公园保护、湿地资源保护、物业管理等</w:t>
      </w:r>
      <w:r>
        <w:t>28</w:t>
      </w:r>
      <w:r>
        <w:rPr>
          <w:rFonts w:hint="eastAsia"/>
        </w:rPr>
        <w:t>项立法项目研究制定立法规划。</w:t>
      </w:r>
    </w:p>
    <w:p>
      <w:pPr>
        <w:widowControl/>
        <w:spacing w:line="580" w:lineRule="exact"/>
        <w:ind w:firstLine="634" w:firstLineChars="200"/>
      </w:pPr>
      <w:r>
        <w:rPr>
          <w:rFonts w:hint="eastAsia"/>
          <w:b/>
          <w:bCs/>
        </w:rPr>
        <w:t>加快建设法治政府。</w:t>
      </w:r>
      <w:r>
        <w:rPr>
          <w:rFonts w:hint="eastAsia"/>
        </w:rPr>
        <w:t>把政府工作全面纳入法治轨道，推进机构、职能、权限、程序、责任法定化，严格依法行政考核。完善依法决策机制和程序，全面推行政府法律顾问制度，建立重大行政决策终身责任追究制度及责任倒查机制。深化行政执法体制改革，推进重点领域综合执法，推广随机抽查。坚持严格规范公正文明执法，深入推进服务型行政执法，全面落实行政执法责任制，规范执法事中事后监管。强化对行政权力的监督和制约，加强法制监督，完善审计监督，全面推进政务公开。加强行政复议规范化建设，完善行政调解、行政裁决制度，依法化解行政争议。</w:t>
      </w:r>
    </w:p>
    <w:p>
      <w:pPr>
        <w:widowControl/>
        <w:spacing w:line="580" w:lineRule="exact"/>
        <w:ind w:firstLine="634" w:firstLineChars="200"/>
      </w:pPr>
      <w:r>
        <w:rPr>
          <w:rFonts w:hint="eastAsia"/>
          <w:b/>
          <w:bCs/>
        </w:rPr>
        <w:t>深入推进公正司法。</w:t>
      </w:r>
      <w:r>
        <w:rPr>
          <w:rFonts w:hint="eastAsia"/>
        </w:rPr>
        <w:t>切实保障司法机关依法独立公正行使职权，严格落实领导干部干预司法活动、插手具体案件处理的记录、通报和责任追究制度，健全司法人员履行法定职责保护机制。严格落实司法责任制，完善办案质量终身负责制和错案责任倒查问责制。健全阳光司法和司法为民长效机制，提高司法公信力，有效维护社会公平正义。深化司法体制改革，探索法院、检察院司法行政事务管理权和审判权、检察权相分离。</w:t>
      </w:r>
    </w:p>
    <w:p>
      <w:pPr>
        <w:spacing w:line="580" w:lineRule="exact"/>
        <w:ind w:firstLine="634" w:firstLineChars="200"/>
      </w:pPr>
      <w:r>
        <w:rPr>
          <w:rFonts w:hint="eastAsia"/>
          <w:b/>
          <w:bCs/>
        </w:rPr>
        <w:t>全面建设法治社会。</w:t>
      </w:r>
      <w:r>
        <w:rPr>
          <w:rFonts w:hint="eastAsia"/>
        </w:rPr>
        <w:t>加强普法教育，增加全社会特别是公职人员遵法学法守法用法观念，在全社会形成良好法治氛围。把法治教育纳入精神文明创建内容和国民教育体系，在全社会普遍开展宪法教育。加强法治文化阵地建设，大力弘扬法治精神。落实“谁执法谁普法、谁主管谁普法”责任制和法官、检察官、行政执法人员、律师等以案释法制度，完善国家工作人员学法用法制度。推进多层次多领域依法治理，广泛开展法治创建活动，支持各类社会主体依法自我约束、自我管理。加快构建覆盖城乡居民的公共法律服务体系，完善法律援助和司法救助制度。</w:t>
      </w:r>
    </w:p>
    <w:p>
      <w:pPr>
        <w:pStyle w:val="4"/>
        <w:spacing w:before="0" w:after="0" w:line="580" w:lineRule="exact"/>
        <w:jc w:val="center"/>
        <w:rPr>
          <w:rFonts w:eastAsia="方正仿宋_GBK"/>
        </w:rPr>
      </w:pPr>
      <w:bookmarkStart w:id="291" w:name="_Toc440292151"/>
      <w:bookmarkStart w:id="292" w:name="_Toc24998"/>
      <w:bookmarkStart w:id="293" w:name="_Toc440730955"/>
      <w:bookmarkStart w:id="294" w:name="_Toc1606"/>
      <w:r>
        <w:rPr>
          <w:rFonts w:hint="eastAsia" w:eastAsia="方正仿宋_GBK"/>
        </w:rPr>
        <w:t>第五节</w:t>
      </w:r>
      <w:r>
        <w:rPr>
          <w:rFonts w:eastAsia="方正仿宋_GBK"/>
        </w:rPr>
        <w:t xml:space="preserve">  </w:t>
      </w:r>
      <w:r>
        <w:rPr>
          <w:rFonts w:hint="eastAsia" w:eastAsia="方正仿宋_GBK"/>
        </w:rPr>
        <w:t>维护公共安全</w:t>
      </w:r>
      <w:bookmarkEnd w:id="291"/>
      <w:bookmarkEnd w:id="292"/>
      <w:bookmarkEnd w:id="293"/>
      <w:bookmarkEnd w:id="294"/>
    </w:p>
    <w:p>
      <w:pPr>
        <w:spacing w:line="580" w:lineRule="exact"/>
        <w:ind w:firstLine="634" w:firstLineChars="200"/>
      </w:pPr>
      <w:r>
        <w:rPr>
          <w:rFonts w:hint="eastAsia"/>
          <w:b/>
          <w:bCs/>
        </w:rPr>
        <w:t>强化大安全管理。</w:t>
      </w:r>
      <w:r>
        <w:rPr>
          <w:rFonts w:hint="eastAsia"/>
        </w:rPr>
        <w:t>坚持人民利益至上，牢固树立安全发展观念和红线意识。坚持把安全生产放在首位，实施最严格的安全生产责任和管理制度，实行党政同责、一岗双责、失职追责。强化预防治本，坚持标本兼治、综合治理、源头管控，以防范遏制重特大事故为重点，切实落实企业主体责任、部门监管责任、党委政府领导责任。深化安全生产监管，健全公共安全体系，推进依法治安。改革安全评审制度，加强安全生产基层基础能力建设。强化全民安全意识教育，实施安全素质提升工程，全面提高全民安全素质、从业人员安全技能、监管监察人员执法水平，切实维护人民生命财产安全。推动安全生产关口前移，健全预警预控应急机制，加快健全隐患排查治理体系、风险预防控制体系和社会共治体系，着力提升全社会整体安全水平，依法严惩安全生产领域失职渎职行为，坚决遏制重特大事故发生。</w:t>
      </w:r>
    </w:p>
    <w:p>
      <w:pPr>
        <w:spacing w:line="580" w:lineRule="exact"/>
        <w:ind w:firstLine="634" w:firstLineChars="200"/>
      </w:pPr>
      <w:r>
        <w:rPr>
          <w:rFonts w:hint="eastAsia"/>
          <w:b/>
          <w:bCs/>
        </w:rPr>
        <w:t>建设平安信阳。</w:t>
      </w:r>
      <w:r>
        <w:rPr>
          <w:rFonts w:hint="eastAsia"/>
        </w:rPr>
        <w:t>加强应急体系建设，健全防灾减灾、突发事件预警和应急处置等机制。加强社会治安综合治理，完善社会治安防控网和运行机制，构建立体化社会治安防控体系，建设基础综合服务管理平台。做好流动人口服务管理，加强特殊人群帮教管理工作，依法严密防范和惩治各类违法犯罪活动，切实维护社会治安秩序和人民群众切身利益。加强网络安全制度建设，强化网上舆情导控。完善国家安全工作体制机制。健全保密法规制度体系，形成省市县分级覆盖的保密移动应急检查能力。</w:t>
      </w:r>
      <w:r>
        <w:rPr>
          <w:rFonts w:hint="eastAsia"/>
          <w:color w:val="000000"/>
        </w:rPr>
        <w:t>完善国民经济动员体系，抓好国民经济动员、人民防空、交通战备、战略物资储备基地建设，普及深化全民国防教育。支持驻信解放军和武警部队建设。加强人民武装和民兵预备役工作。</w:t>
      </w:r>
    </w:p>
    <w:p>
      <w:pPr>
        <w:pStyle w:val="2"/>
        <w:spacing w:before="0" w:after="0" w:line="580" w:lineRule="exact"/>
        <w:jc w:val="center"/>
        <w:rPr>
          <w:color w:val="000000"/>
          <w:kern w:val="2"/>
        </w:rPr>
      </w:pPr>
      <w:r>
        <w:rPr>
          <w:rFonts w:eastAsia="方正仿宋_GBK"/>
        </w:rPr>
        <w:br w:type="page"/>
      </w:r>
      <w:bookmarkStart w:id="295" w:name="_Toc15846"/>
      <w:r>
        <w:rPr>
          <w:rFonts w:hint="eastAsia"/>
        </w:rPr>
        <w:t>第七篇</w:t>
      </w:r>
      <w:r>
        <w:t xml:space="preserve">   </w:t>
      </w:r>
      <w:bookmarkEnd w:id="24"/>
      <w:bookmarkEnd w:id="25"/>
      <w:r>
        <w:rPr>
          <w:rFonts w:hint="eastAsia"/>
        </w:rPr>
        <w:t>行动纲领的实施保障</w:t>
      </w:r>
      <w:bookmarkEnd w:id="295"/>
    </w:p>
    <w:p>
      <w:pPr>
        <w:spacing w:line="580" w:lineRule="exact"/>
        <w:ind w:firstLine="632" w:firstLineChars="200"/>
      </w:pPr>
      <w:r>
        <w:rPr>
          <w:rFonts w:hint="eastAsia"/>
        </w:rPr>
        <w:t>在党的坚强有力领导下，更好履行各级政府职责，集全民之智，共同努力推进规划有效实施，确保各项目标任务的顺利完成。</w:t>
      </w:r>
    </w:p>
    <w:p>
      <w:pPr>
        <w:pStyle w:val="3"/>
        <w:spacing w:before="0" w:after="0" w:line="580" w:lineRule="exact"/>
        <w:jc w:val="center"/>
        <w:rPr>
          <w:rFonts w:ascii="Times New Roman" w:hAnsi="Times New Roman" w:eastAsia="方正楷体_GBK" w:cs="Times New Roman"/>
        </w:rPr>
      </w:pPr>
      <w:bookmarkStart w:id="296" w:name="_Toc12636"/>
      <w:r>
        <w:rPr>
          <w:rFonts w:hint="eastAsia" w:ascii="Times New Roman" w:hAnsi="Times New Roman" w:eastAsia="方正楷体_GBK" w:cs="Times New Roman"/>
        </w:rPr>
        <w:t>第二十四章</w:t>
      </w:r>
      <w:r>
        <w:rPr>
          <w:rFonts w:ascii="Times New Roman" w:hAnsi="Times New Roman" w:eastAsia="方正楷体_GBK" w:cs="Times New Roman"/>
        </w:rPr>
        <w:t xml:space="preserve">  </w:t>
      </w:r>
      <w:r>
        <w:rPr>
          <w:rFonts w:hint="eastAsia" w:ascii="Times New Roman" w:hAnsi="Times New Roman" w:eastAsia="方正楷体_GBK" w:cs="Times New Roman"/>
        </w:rPr>
        <w:t>发挥党的领导核心作用</w:t>
      </w:r>
      <w:bookmarkEnd w:id="296"/>
    </w:p>
    <w:p>
      <w:pPr>
        <w:spacing w:line="580" w:lineRule="exact"/>
        <w:ind w:firstLine="632" w:firstLineChars="200"/>
        <w:rPr>
          <w:color w:val="000000"/>
        </w:rPr>
      </w:pPr>
      <w:r>
        <w:rPr>
          <w:rFonts w:hint="eastAsia"/>
          <w:color w:val="000000"/>
        </w:rPr>
        <w:t>坚持党总揽全局、协调各方，发挥各级党委（党组）在经济社会发展工作中的领导核心作用，为实现</w:t>
      </w:r>
      <w:r>
        <w:rPr>
          <w:color w:val="000000"/>
        </w:rPr>
        <w:t>“</w:t>
      </w:r>
      <w:r>
        <w:rPr>
          <w:rFonts w:hint="eastAsia"/>
          <w:color w:val="000000"/>
        </w:rPr>
        <w:t>十三五</w:t>
      </w:r>
      <w:r>
        <w:rPr>
          <w:color w:val="000000"/>
        </w:rPr>
        <w:t>”</w:t>
      </w:r>
      <w:r>
        <w:rPr>
          <w:rFonts w:hint="eastAsia"/>
          <w:color w:val="000000"/>
        </w:rPr>
        <w:t>规划提供坚强保证。深入贯彻落实“</w:t>
      </w:r>
      <w:r>
        <w:rPr>
          <w:color w:val="000000"/>
        </w:rPr>
        <w:t>4+4+2</w:t>
      </w:r>
      <w:r>
        <w:rPr>
          <w:rFonts w:hint="eastAsia"/>
          <w:color w:val="000000"/>
        </w:rPr>
        <w:t>”</w:t>
      </w:r>
      <w:r>
        <w:rPr>
          <w:rStyle w:val="8"/>
        </w:rPr>
        <w:footnoteReference w:id="35"/>
      </w:r>
      <w:r>
        <w:rPr>
          <w:rFonts w:hint="eastAsia"/>
          <w:color w:val="000000"/>
        </w:rPr>
        <w:t>党建制度体系。发挥基层党组织战斗堡垒作用和党员先锋模范作用，更好的带领群众全面建成小康社会。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pPr>
        <w:pStyle w:val="3"/>
        <w:spacing w:before="0" w:after="0" w:line="580" w:lineRule="exact"/>
        <w:jc w:val="center"/>
        <w:rPr>
          <w:rFonts w:ascii="Times New Roman" w:hAnsi="Times New Roman" w:eastAsia="方正楷体_GBK" w:cs="Times New Roman"/>
        </w:rPr>
      </w:pPr>
      <w:bookmarkStart w:id="297" w:name="_Toc5706"/>
      <w:r>
        <w:rPr>
          <w:rFonts w:hint="eastAsia" w:ascii="Times New Roman" w:hAnsi="Times New Roman" w:eastAsia="方正楷体_GBK" w:cs="Times New Roman"/>
          <w:color w:val="000000"/>
        </w:rPr>
        <w:t>第二十五章</w:t>
      </w:r>
      <w:r>
        <w:rPr>
          <w:rFonts w:ascii="Times New Roman" w:hAnsi="Times New Roman" w:eastAsia="方正楷体_GBK" w:cs="Times New Roman"/>
          <w:color w:val="000000"/>
        </w:rPr>
        <w:t xml:space="preserve">  </w:t>
      </w:r>
      <w:bookmarkStart w:id="298" w:name="_Toc18684"/>
      <w:r>
        <w:rPr>
          <w:rFonts w:hint="eastAsia" w:ascii="Times New Roman" w:hAnsi="Times New Roman" w:eastAsia="方正楷体_GBK" w:cs="Times New Roman"/>
          <w:color w:val="000000"/>
        </w:rPr>
        <w:t>明确政府主体责任</w:t>
      </w:r>
      <w:bookmarkEnd w:id="297"/>
      <w:r>
        <w:rPr>
          <w:rFonts w:ascii="Times New Roman" w:hAnsi="Times New Roman" w:eastAsia="方正楷体_GBK" w:cs="Times New Roman"/>
        </w:rPr>
        <w:t xml:space="preserve">  </w:t>
      </w:r>
    </w:p>
    <w:p>
      <w:pPr>
        <w:spacing w:line="580" w:lineRule="exact"/>
        <w:ind w:firstLine="632" w:firstLineChars="200"/>
      </w:pPr>
      <w:r>
        <w:rPr>
          <w:rFonts w:hint="eastAsia"/>
        </w:rPr>
        <w:t>落实政府实施规划的主体责任，加强政策引导和组织协调，合理配置公共资源，健全规划实施机制。</w:t>
      </w:r>
    </w:p>
    <w:p>
      <w:pPr>
        <w:pStyle w:val="4"/>
        <w:spacing w:before="0" w:after="0" w:line="580" w:lineRule="exact"/>
        <w:jc w:val="center"/>
        <w:rPr>
          <w:rFonts w:eastAsia="方正仿宋_GBK"/>
        </w:rPr>
      </w:pPr>
      <w:bookmarkStart w:id="299" w:name="_Toc25023"/>
      <w:r>
        <w:rPr>
          <w:rFonts w:hint="eastAsia" w:eastAsia="方正仿宋_GBK"/>
        </w:rPr>
        <w:t>第一节</w:t>
      </w:r>
      <w:r>
        <w:rPr>
          <w:rFonts w:eastAsia="方正仿宋_GBK"/>
        </w:rPr>
        <w:t xml:space="preserve">  </w:t>
      </w:r>
      <w:r>
        <w:rPr>
          <w:rFonts w:hint="eastAsia" w:eastAsia="方正仿宋_GBK"/>
        </w:rPr>
        <w:t>健全规划体系和实施管理</w:t>
      </w:r>
      <w:bookmarkEnd w:id="298"/>
      <w:bookmarkEnd w:id="299"/>
    </w:p>
    <w:p>
      <w:pPr>
        <w:spacing w:line="580" w:lineRule="exact"/>
        <w:ind w:firstLine="632" w:firstLineChars="200"/>
      </w:pPr>
      <w:r>
        <w:rPr>
          <w:rFonts w:hint="eastAsia"/>
        </w:rPr>
        <w:t>强化本规划作为制定专项规划、县区规划、年度计划以及相关政策的重要依据，切实贯彻本规划的战略意图和主要任务，重点加强约束性指标的衔接，确保各级各类规划在总体要求上指向一致、空间配置上相互协调、时序安排上科学有序。加强对规划实施的组织、协调和督导，完善规划考评体系，开展规划实施情况动态监测和评估工作，把监测评估结果作为改进政府工作和绩效考核的重要依据，接受市人民代表大会及其常务委员会对规划实施情况的监督检查。</w:t>
      </w:r>
    </w:p>
    <w:p>
      <w:pPr>
        <w:pStyle w:val="4"/>
        <w:spacing w:before="0" w:after="0" w:line="580" w:lineRule="exact"/>
        <w:jc w:val="center"/>
        <w:rPr>
          <w:rFonts w:eastAsia="方正仿宋_GBK"/>
        </w:rPr>
      </w:pPr>
      <w:bookmarkStart w:id="300" w:name="_Toc10258"/>
      <w:bookmarkStart w:id="301" w:name="_Toc7675"/>
      <w:r>
        <w:rPr>
          <w:rFonts w:hint="eastAsia" w:eastAsia="方正仿宋_GBK"/>
        </w:rPr>
        <w:t>第二节</w:t>
      </w:r>
      <w:r>
        <w:rPr>
          <w:rFonts w:eastAsia="方正仿宋_GBK"/>
        </w:rPr>
        <w:t xml:space="preserve">  </w:t>
      </w:r>
      <w:r>
        <w:rPr>
          <w:rFonts w:hint="eastAsia" w:eastAsia="方正仿宋_GBK"/>
        </w:rPr>
        <w:t>完善重点任务落实机制</w:t>
      </w:r>
      <w:bookmarkEnd w:id="300"/>
      <w:bookmarkEnd w:id="301"/>
    </w:p>
    <w:p>
      <w:pPr>
        <w:spacing w:line="580" w:lineRule="exact"/>
        <w:ind w:firstLine="632" w:firstLineChars="200"/>
      </w:pPr>
      <w:r>
        <w:rPr>
          <w:rFonts w:hint="eastAsia"/>
        </w:rPr>
        <w:t>本规划明确的约束性指标以及重大工程、重大项目、重大政策和重要改革任务，明确责任主体和实施进度要求，并加强统筹协调、审计监督，确保如期完成。对纳入本规划的重大工程、重大项目，优先保障规划选址、土地供应和融资安排。围绕经济社会发展重点领域，研究制定配套政策，为各项发展目标实现提供有力支撑。</w:t>
      </w:r>
    </w:p>
    <w:p>
      <w:pPr>
        <w:pStyle w:val="4"/>
        <w:keepNext w:val="0"/>
        <w:keepLines w:val="0"/>
        <w:spacing w:before="0" w:after="0" w:line="580" w:lineRule="exact"/>
        <w:jc w:val="center"/>
        <w:rPr>
          <w:rFonts w:eastAsia="方正仿宋_GBK"/>
        </w:rPr>
      </w:pPr>
      <w:bookmarkStart w:id="302" w:name="_Toc21682"/>
      <w:r>
        <w:rPr>
          <w:rFonts w:hint="eastAsia" w:eastAsia="方正仿宋_GBK"/>
        </w:rPr>
        <w:t>第三节</w:t>
      </w:r>
      <w:r>
        <w:rPr>
          <w:rFonts w:eastAsia="方正仿宋_GBK"/>
        </w:rPr>
        <w:t xml:space="preserve">  </w:t>
      </w:r>
      <w:r>
        <w:rPr>
          <w:rFonts w:hint="eastAsia" w:eastAsia="方正仿宋_GBK"/>
        </w:rPr>
        <w:t>强化财力保障</w:t>
      </w:r>
      <w:bookmarkEnd w:id="302"/>
    </w:p>
    <w:p>
      <w:pPr>
        <w:spacing w:line="580" w:lineRule="exact"/>
        <w:ind w:firstLine="632" w:firstLineChars="200"/>
      </w:pPr>
      <w:r>
        <w:rPr>
          <w:rFonts w:hint="eastAsia"/>
        </w:rPr>
        <w:t>加强财政预算与规划实施的衔接协调，在明确各级政府支出责任的基础上，强化各级财政对规划实施的保障作用。中期财政规划和年度预算应结合本规划提出的目标任务和财力可能，合理安排支出规模和结构，充分考虑本规划实施需要。年度预算安排应优先考虑本规划实施的年度需要。科学合理运</w:t>
      </w:r>
      <w:r>
        <w:rPr>
          <w:rFonts w:hint="eastAsia"/>
          <w:spacing w:val="-6"/>
        </w:rPr>
        <w:t>用财政杠杆，提高政府投资的引导力和带动力，鼓励社会投资</w:t>
      </w:r>
      <w:r>
        <w:rPr>
          <w:rFonts w:hint="eastAsia"/>
        </w:rPr>
        <w:t>。</w:t>
      </w:r>
    </w:p>
    <w:p>
      <w:pPr>
        <w:pStyle w:val="3"/>
        <w:spacing w:before="0" w:after="0" w:line="580" w:lineRule="exact"/>
        <w:jc w:val="center"/>
        <w:rPr>
          <w:rFonts w:ascii="Times New Roman" w:hAnsi="Times New Roman" w:eastAsia="方正楷体_GBK" w:cs="Times New Roman"/>
        </w:rPr>
      </w:pPr>
      <w:bookmarkStart w:id="303" w:name="_Toc8954"/>
      <w:r>
        <w:rPr>
          <w:rFonts w:hint="eastAsia" w:ascii="Times New Roman" w:hAnsi="Times New Roman" w:eastAsia="方正楷体_GBK" w:cs="Times New Roman"/>
        </w:rPr>
        <w:t>第二十六章</w:t>
      </w:r>
      <w:r>
        <w:rPr>
          <w:rFonts w:ascii="Times New Roman" w:hAnsi="Times New Roman" w:eastAsia="方正楷体_GBK" w:cs="Times New Roman"/>
        </w:rPr>
        <w:t xml:space="preserve">  </w:t>
      </w:r>
      <w:r>
        <w:rPr>
          <w:rFonts w:hint="eastAsia" w:ascii="Times New Roman" w:hAnsi="Times New Roman" w:eastAsia="方正楷体_GBK" w:cs="Times New Roman"/>
        </w:rPr>
        <w:t>动员全社会共同参与</w:t>
      </w:r>
      <w:bookmarkEnd w:id="303"/>
    </w:p>
    <w:p>
      <w:pPr>
        <w:spacing w:line="580" w:lineRule="exact"/>
        <w:ind w:firstLine="632" w:firstLineChars="200"/>
        <w:rPr>
          <w:color w:val="000000"/>
        </w:rPr>
      </w:pPr>
      <w:r>
        <w:rPr>
          <w:rFonts w:hint="eastAsia"/>
        </w:rPr>
        <w:t>本规划提出的预期性指标和产业发展、结构调整等任务，主要依靠市场主体的自主行为实现。充分发挥政府的宏观调控职能和市场机制的决定性作用，加强对规划的宣传，增强公众对规划的认识和了解，激发全市人民参与规划实施的主人翁意识。充分发挥各级政府、社会各界的积极性、主动性和创造性，尊重基层首创精神，汇聚人民群众的力量和智慧，形成全市人民群策群力、共建共享的生动局面。</w:t>
      </w:r>
    </w:p>
    <w:p>
      <w:pPr>
        <w:spacing w:line="580" w:lineRule="exact"/>
        <w:ind w:firstLine="632" w:firstLineChars="200"/>
      </w:pPr>
      <w:r>
        <w:rPr>
          <w:rFonts w:hint="eastAsia"/>
          <w:color w:val="000000"/>
        </w:rPr>
        <w:t>全面建成小康社会，前景光明，任务艰巨。全市各级党组织和广大干部群众要紧密团结在以习近平同志为总书记的党中央周围，高举中国特色社会主义伟大旗帜，按照中央和省委的决策部署，万众一心、众志成城、开拓创新、锐意进取，为顺利完成“十三五”规划、实现信阳全面建成小康社会而努力奋斗！</w:t>
      </w:r>
    </w:p>
    <w:p>
      <w:bookmarkStart w:id="304" w:name="_GoBack"/>
      <w:bookmarkEnd w:id="304"/>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潘昶宇(科员)" w:date="2016-05-17T16:29:00Z" w:initials="潘">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Fonts w:hint="eastAsia"/>
        <w:sz w:val="24"/>
        <w:szCs w:val="24"/>
      </w:rPr>
    </w:pPr>
    <w:r>
      <w:rPr>
        <w:rFonts w:hint="eastAsia"/>
        <w:sz w:val="24"/>
        <w:szCs w:val="24"/>
      </w:rPr>
      <w:t xml:space="preserve">— </w:t>
    </w:r>
    <w:r>
      <w:rPr>
        <w:sz w:val="24"/>
        <w:szCs w:val="24"/>
      </w:rPr>
      <w:fldChar w:fldCharType="begin"/>
    </w:r>
    <w:r>
      <w:rPr>
        <w:sz w:val="24"/>
        <w:szCs w:val="24"/>
      </w:rPr>
      <w:instrText xml:space="preserve">PAGE  </w:instrText>
    </w:r>
    <w:r>
      <w:rPr>
        <w:sz w:val="24"/>
        <w:szCs w:val="24"/>
      </w:rPr>
      <w:fldChar w:fldCharType="separate"/>
    </w:r>
    <w:r>
      <w:rPr>
        <w:sz w:val="24"/>
        <w:szCs w:val="24"/>
      </w:rPr>
      <w:t>1</w:t>
    </w:r>
    <w:r>
      <w:rPr>
        <w:sz w:val="24"/>
        <w:szCs w:val="24"/>
      </w:rPr>
      <w:fldChar w:fldCharType="end"/>
    </w:r>
    <w:r>
      <w:rPr>
        <w:rFonts w:hint="eastAsia"/>
        <w:sz w:val="24"/>
        <w:szCs w:val="24"/>
      </w:rPr>
      <w:t xml:space="preserve"> —</w:t>
    </w:r>
  </w:p>
  <w:p>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sz w:val="21"/>
          <w:szCs w:val="21"/>
        </w:rPr>
      </w:pPr>
      <w:r>
        <w:rPr>
          <w:rFonts w:ascii="宋体"/>
          <w:sz w:val="21"/>
          <w:szCs w:val="21"/>
        </w:rPr>
        <w:footnoteRef/>
      </w:r>
      <w:r>
        <w:rPr>
          <w:rFonts w:ascii="宋体" w:hAnsi="宋体" w:cs="宋体"/>
          <w:sz w:val="21"/>
          <w:szCs w:val="21"/>
        </w:rPr>
        <w:t xml:space="preserve"> </w:t>
      </w:r>
      <w:r>
        <w:rPr>
          <w:rFonts w:hint="eastAsia" w:ascii="宋体" w:hAnsi="宋体" w:cs="宋体"/>
          <w:sz w:val="21"/>
          <w:szCs w:val="21"/>
        </w:rPr>
        <w:t>“一个载体”即产业集聚区（包括经济技术开发区、高新技术开发区）、商务中心区和特色商业区（街）等科学发展载体；“四个体系”即现代产业体系、现代城乡体系、现代创新体系、现代市场体系；“六大基础”即现代交通系统、信息网络系统、水利支持系统、能源支撑系统、生态环境系统、人力资源支撑系统。</w:t>
      </w:r>
    </w:p>
  </w:footnote>
  <w:footnote w:id="1">
    <w:p>
      <w:r>
        <w:rPr>
          <w:sz w:val="21"/>
          <w:szCs w:val="21"/>
        </w:rPr>
        <w:footnoteRef/>
      </w:r>
      <w:r>
        <w:rPr>
          <w:sz w:val="21"/>
          <w:szCs w:val="21"/>
        </w:rPr>
        <w:t xml:space="preserve"> </w:t>
      </w:r>
      <w:r>
        <w:rPr>
          <w:rFonts w:hint="eastAsia" w:cs="宋体"/>
          <w:sz w:val="21"/>
          <w:szCs w:val="21"/>
        </w:rPr>
        <w:t>即“丝绸之路经济带”和“</w:t>
      </w:r>
      <w:r>
        <w:rPr>
          <w:sz w:val="21"/>
          <w:szCs w:val="21"/>
        </w:rPr>
        <w:t>21</w:t>
      </w:r>
      <w:r>
        <w:rPr>
          <w:rFonts w:hint="eastAsia" w:cs="宋体"/>
          <w:sz w:val="21"/>
          <w:szCs w:val="21"/>
        </w:rPr>
        <w:t>世纪海上丝绸之路”。</w:t>
      </w:r>
    </w:p>
  </w:footnote>
  <w:footnote w:id="2">
    <w:p>
      <w:r>
        <w:rPr>
          <w:sz w:val="21"/>
          <w:szCs w:val="21"/>
        </w:rPr>
        <w:footnoteRef/>
      </w:r>
      <w:r>
        <w:rPr>
          <w:sz w:val="21"/>
          <w:szCs w:val="21"/>
        </w:rPr>
        <w:t xml:space="preserve"> </w:t>
      </w:r>
      <w:r>
        <w:rPr>
          <w:rFonts w:hint="eastAsia" w:cs="宋体"/>
          <w:sz w:val="21"/>
          <w:szCs w:val="21"/>
        </w:rPr>
        <w:t>河南省粮食生产核心区、中原经济区、郑州航空港经济综合实验区。</w:t>
      </w:r>
    </w:p>
  </w:footnote>
  <w:footnote w:id="3">
    <w:p>
      <w:pPr>
        <w:widowControl/>
        <w:shd w:val="clear" w:color="auto" w:fill="FFFFFF"/>
        <w:spacing w:before="300" w:after="225" w:line="360" w:lineRule="atLeast"/>
        <w:jc w:val="left"/>
        <w:rPr>
          <w:sz w:val="21"/>
          <w:szCs w:val="21"/>
        </w:rPr>
      </w:pPr>
      <w:r>
        <w:rPr>
          <w:rFonts w:ascii="宋体"/>
          <w:color w:val="000000"/>
          <w:sz w:val="21"/>
          <w:szCs w:val="21"/>
        </w:rPr>
        <w:footnoteRef/>
      </w:r>
      <w:r>
        <w:rPr>
          <w:rFonts w:ascii="宋体" w:hAnsi="宋体" w:cs="宋体"/>
          <w:color w:val="000000"/>
          <w:sz w:val="21"/>
          <w:szCs w:val="21"/>
        </w:rPr>
        <w:t xml:space="preserve"> </w:t>
      </w:r>
      <w:r>
        <w:rPr>
          <w:rFonts w:hint="eastAsia" w:ascii="宋体" w:hAnsi="宋体" w:cs="宋体"/>
          <w:color w:val="000000"/>
          <w:sz w:val="21"/>
          <w:szCs w:val="21"/>
        </w:rPr>
        <w:t>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footnote>
  <w:footnote w:id="4">
    <w:p>
      <w:pPr>
        <w:widowControl/>
        <w:jc w:val="left"/>
        <w:rPr>
          <w:sz w:val="21"/>
          <w:szCs w:val="21"/>
        </w:rPr>
      </w:pPr>
      <w:r>
        <w:rPr>
          <w:rFonts w:ascii="宋体"/>
          <w:kern w:val="0"/>
          <w:sz w:val="21"/>
          <w:szCs w:val="21"/>
        </w:rPr>
        <w:footnoteRef/>
      </w:r>
      <w:r>
        <w:rPr>
          <w:rFonts w:ascii="宋体" w:hAnsi="宋体" w:cs="宋体"/>
          <w:kern w:val="0"/>
          <w:sz w:val="21"/>
          <w:szCs w:val="21"/>
        </w:rPr>
        <w:t xml:space="preserve"> </w:t>
      </w:r>
      <w:r>
        <w:rPr>
          <w:rFonts w:hint="eastAsia" w:ascii="宋体" w:hAnsi="宋体" w:cs="宋体"/>
          <w:kern w:val="0"/>
          <w:sz w:val="21"/>
          <w:szCs w:val="21"/>
        </w:rPr>
        <w:t>数字化车间，数字化车间是指依托信息技术，以设备、操作和产品为核心，将数字化的产品设计数据，在现有实际制造系统的数字化现实环境中，对生产过程进行计算机仿真优化的虚拟制造方式；智能工厂是在数字化车间的基础上，利用物联网技术和监控技术加强信息管理和服务。</w:t>
      </w:r>
    </w:p>
  </w:footnote>
  <w:footnote w:id="5">
    <w:p>
      <w:r>
        <w:rPr>
          <w:rFonts w:ascii="宋体"/>
          <w:sz w:val="21"/>
          <w:szCs w:val="21"/>
        </w:rPr>
        <w:footnoteRef/>
      </w:r>
      <w:r>
        <w:rPr>
          <w:rFonts w:ascii="宋体" w:hAnsi="宋体" w:cs="宋体"/>
          <w:sz w:val="21"/>
          <w:szCs w:val="21"/>
        </w:rPr>
        <w:t xml:space="preserve"> </w:t>
      </w:r>
      <w:r>
        <w:rPr>
          <w:rFonts w:hint="eastAsia" w:ascii="宋体" w:hAnsi="宋体" w:cs="宋体"/>
          <w:sz w:val="21"/>
          <w:szCs w:val="21"/>
        </w:rPr>
        <w:t>以容量大、类型多、存取速度快、应用价值高为主要特征的数据集合，正快速发展为对数量巨大、来源分散、格式多样的数据进行采集、存储和关联分析，从中发现新知识、创造新价值、提升新能力的新一代信息技术和服务业态。</w:t>
      </w:r>
    </w:p>
  </w:footnote>
  <w:footnote w:id="6">
    <w:p>
      <w:r>
        <w:rPr>
          <w:rFonts w:ascii="宋体"/>
          <w:sz w:val="21"/>
          <w:szCs w:val="21"/>
        </w:rPr>
        <w:footnoteRef/>
      </w:r>
      <w:r>
        <w:rPr>
          <w:rFonts w:ascii="宋体" w:hAnsi="宋体" w:cs="宋体"/>
          <w:sz w:val="21"/>
          <w:szCs w:val="21"/>
        </w:rPr>
        <w:t xml:space="preserve"> </w:t>
      </w:r>
      <w:r>
        <w:rPr>
          <w:rFonts w:hint="eastAsia" w:ascii="宋体" w:hAnsi="宋体" w:cs="宋体"/>
          <w:sz w:val="21"/>
          <w:szCs w:val="21"/>
        </w:rPr>
        <w:t>指利用局部网络或互联网等通讯技术，把传感器、控制器、机器、人员与物通过新的方式联在一起，形成人与物、物与物互联，实现信息化、智能化、管理控制远程化的网络。</w:t>
      </w:r>
    </w:p>
  </w:footnote>
  <w:footnote w:id="7">
    <w:p>
      <w:r>
        <w:rPr>
          <w:sz w:val="21"/>
          <w:szCs w:val="21"/>
        </w:rPr>
        <w:footnoteRef/>
      </w:r>
      <w:r>
        <w:rPr>
          <w:sz w:val="21"/>
          <w:szCs w:val="21"/>
        </w:rPr>
        <w:t xml:space="preserve"> </w:t>
      </w:r>
      <w:r>
        <w:rPr>
          <w:rFonts w:hint="eastAsia" w:cs="宋体"/>
          <w:sz w:val="21"/>
          <w:szCs w:val="21"/>
        </w:rPr>
        <w:t>在粮食主产县规划建设一批百亩方、千亩方和万亩方，统筹推进水、电、路等基础设施建设，强化服务配套，实现土地规模和集约化经营，促进粮食持续稳定发展。</w:t>
      </w:r>
    </w:p>
  </w:footnote>
  <w:footnote w:id="8">
    <w:p>
      <w:r>
        <w:rPr>
          <w:sz w:val="21"/>
          <w:szCs w:val="21"/>
        </w:rPr>
        <w:footnoteRef/>
      </w:r>
      <w:r>
        <w:rPr>
          <w:sz w:val="21"/>
          <w:szCs w:val="21"/>
        </w:rPr>
        <w:t xml:space="preserve"> </w:t>
      </w:r>
      <w:r>
        <w:rPr>
          <w:rFonts w:hint="eastAsia" w:cs="宋体"/>
          <w:sz w:val="21"/>
          <w:szCs w:val="21"/>
        </w:rPr>
        <w:t>藏粮于地：适时调节粮食产量和生产能力的关系，通过耕地的增加和减少来维持粮食供求的大体平衡；藏粮于技：向科技要粮，走依靠科技进步、提高单产的内涵式发展道路。</w:t>
      </w:r>
    </w:p>
  </w:footnote>
  <w:footnote w:id="9">
    <w:p>
      <w:r>
        <w:rPr>
          <w:sz w:val="21"/>
          <w:szCs w:val="21"/>
        </w:rPr>
        <w:footnoteRef/>
      </w:r>
      <w:r>
        <w:rPr>
          <w:sz w:val="21"/>
          <w:szCs w:val="21"/>
        </w:rPr>
        <w:t xml:space="preserve"> </w:t>
      </w:r>
      <w:r>
        <w:rPr>
          <w:rFonts w:hint="eastAsia" w:cs="宋体"/>
          <w:sz w:val="21"/>
          <w:szCs w:val="21"/>
        </w:rPr>
        <w:t>是指国家根据财力和粮食供求状况，重点在重金属污染区、生态严重退化地区开展试点，安排一定面积的耕地用于休耕，对休耕农民给予必要的粮食或现金补助。</w:t>
      </w:r>
    </w:p>
  </w:footnote>
  <w:footnote w:id="10">
    <w:p>
      <w:r>
        <w:rPr>
          <w:sz w:val="21"/>
          <w:szCs w:val="21"/>
        </w:rPr>
        <w:footnoteRef/>
      </w:r>
      <w:r>
        <w:rPr>
          <w:sz w:val="21"/>
          <w:szCs w:val="21"/>
        </w:rPr>
        <w:t xml:space="preserve"> </w:t>
      </w:r>
      <w:r>
        <w:rPr>
          <w:rFonts w:hint="eastAsia" w:cs="宋体"/>
          <w:sz w:val="21"/>
          <w:szCs w:val="21"/>
        </w:rPr>
        <w:t>是指把互联网创新成果与经济社会各领域深度融合，形成以互联网为基础设施和创新要素的经济社会发展新形态。</w:t>
      </w:r>
    </w:p>
  </w:footnote>
  <w:footnote w:id="11">
    <w:p>
      <w:r>
        <w:rPr>
          <w:sz w:val="21"/>
          <w:szCs w:val="21"/>
        </w:rPr>
        <w:footnoteRef/>
      </w:r>
      <w:r>
        <w:rPr>
          <w:sz w:val="21"/>
          <w:szCs w:val="21"/>
        </w:rPr>
        <w:t xml:space="preserve"> </w:t>
      </w:r>
      <w:r>
        <w:rPr>
          <w:rFonts w:hint="eastAsia" w:cs="宋体"/>
          <w:sz w:val="21"/>
          <w:szCs w:val="21"/>
        </w:rPr>
        <w:t>指传统金融机构与互联网企业利用互联网技术和信息通信技术实现资金融通、支付、投资和信息中介服务的新型金融业务模式</w:t>
      </w:r>
      <w:r>
        <w:rPr>
          <w:rFonts w:hint="eastAsia" w:cs="宋体"/>
          <w:spacing w:val="-20"/>
          <w:sz w:val="21"/>
          <w:szCs w:val="21"/>
        </w:rPr>
        <w:t>，主要模式包括互联网支付、网络借贷、</w:t>
      </w:r>
      <w:r>
        <w:rPr>
          <w:rFonts w:hint="eastAsia" w:cs="宋体"/>
          <w:sz w:val="21"/>
          <w:szCs w:val="21"/>
        </w:rPr>
        <w:t>股权众筹融资等。</w:t>
      </w:r>
    </w:p>
  </w:footnote>
  <w:footnote w:id="12">
    <w:p>
      <w:r>
        <w:rPr>
          <w:rFonts w:ascii="宋体"/>
          <w:sz w:val="21"/>
          <w:szCs w:val="21"/>
        </w:rPr>
        <w:footnoteRef/>
      </w:r>
      <w:r>
        <w:rPr>
          <w:rFonts w:ascii="宋体" w:hAnsi="宋体" w:cs="宋体"/>
          <w:sz w:val="21"/>
          <w:szCs w:val="21"/>
        </w:rPr>
        <w:t xml:space="preserve"> </w:t>
      </w:r>
      <w:r>
        <w:rPr>
          <w:rFonts w:hint="eastAsia" w:ascii="宋体" w:hAnsi="宋体" w:cs="宋体"/>
          <w:sz w:val="21"/>
          <w:szCs w:val="21"/>
        </w:rPr>
        <w:t>译自英文单词“</w:t>
      </w:r>
      <w:r>
        <w:rPr>
          <w:rFonts w:ascii="宋体" w:hAnsi="宋体" w:cs="宋体"/>
          <w:sz w:val="21"/>
          <w:szCs w:val="21"/>
        </w:rPr>
        <w:t>Maker</w:t>
      </w:r>
      <w:r>
        <w:rPr>
          <w:rFonts w:hint="eastAsia" w:ascii="宋体" w:hAnsi="宋体" w:cs="宋体"/>
          <w:sz w:val="21"/>
          <w:szCs w:val="21"/>
        </w:rPr>
        <w:t>”</w:t>
      </w:r>
      <w:r>
        <w:rPr>
          <w:rFonts w:ascii="宋体" w:cs="宋体"/>
          <w:sz w:val="21"/>
          <w:szCs w:val="21"/>
        </w:rPr>
        <w:t>,</w:t>
      </w:r>
      <w:r>
        <w:rPr>
          <w:rFonts w:hint="eastAsia" w:ascii="宋体" w:hAnsi="宋体" w:cs="宋体"/>
          <w:sz w:val="21"/>
          <w:szCs w:val="21"/>
        </w:rPr>
        <w:t>特指具有创新理念、自主创业的人。</w:t>
      </w:r>
    </w:p>
  </w:footnote>
  <w:footnote w:id="13">
    <w:p>
      <w:r>
        <w:rPr>
          <w:rFonts w:ascii="宋体"/>
          <w:sz w:val="21"/>
          <w:szCs w:val="21"/>
        </w:rPr>
        <w:footnoteRef/>
      </w:r>
      <w:r>
        <w:rPr>
          <w:rFonts w:ascii="宋体" w:hAnsi="宋体" w:cs="宋体"/>
          <w:sz w:val="21"/>
          <w:szCs w:val="21"/>
        </w:rPr>
        <w:t xml:space="preserve"> </w:t>
      </w:r>
      <w:r>
        <w:rPr>
          <w:rFonts w:hint="eastAsia" w:ascii="宋体" w:hAnsi="宋体" w:cs="宋体"/>
          <w:sz w:val="21"/>
          <w:szCs w:val="21"/>
        </w:rPr>
        <w:t>译自英文单词“</w:t>
      </w:r>
      <w:r>
        <w:rPr>
          <w:rFonts w:ascii="宋体" w:hAnsi="宋体" w:cs="宋体"/>
          <w:sz w:val="21"/>
          <w:szCs w:val="21"/>
        </w:rPr>
        <w:t>Geek</w:t>
      </w:r>
      <w:r>
        <w:rPr>
          <w:rFonts w:hint="eastAsia" w:ascii="宋体" w:hAnsi="宋体" w:cs="宋体"/>
          <w:sz w:val="21"/>
          <w:szCs w:val="21"/>
        </w:rPr>
        <w:t>”</w:t>
      </w:r>
      <w:r>
        <w:rPr>
          <w:rFonts w:ascii="宋体" w:cs="宋体"/>
          <w:sz w:val="21"/>
          <w:szCs w:val="21"/>
        </w:rPr>
        <w:t>,</w:t>
      </w:r>
      <w:r>
        <w:rPr>
          <w:rFonts w:hint="eastAsia" w:ascii="宋体" w:hAnsi="宋体" w:cs="宋体"/>
          <w:sz w:val="21"/>
          <w:szCs w:val="21"/>
        </w:rPr>
        <w:t>当前更多指在互联网时代的背景下，聚焦互联网产品和科技趋势、创造全新的互联网商业模式、引领互联网发展潮流的创新性人才。</w:t>
      </w:r>
    </w:p>
  </w:footnote>
  <w:footnote w:id="14">
    <w:p>
      <w:r>
        <w:rPr>
          <w:rFonts w:ascii="宋体"/>
          <w:sz w:val="21"/>
          <w:szCs w:val="21"/>
        </w:rPr>
        <w:footnoteRef/>
      </w:r>
      <w:r>
        <w:rPr>
          <w:rFonts w:ascii="宋体" w:hAnsi="宋体" w:cs="宋体"/>
          <w:sz w:val="21"/>
          <w:szCs w:val="21"/>
        </w:rPr>
        <w:t xml:space="preserve"> </w:t>
      </w:r>
      <w:r>
        <w:rPr>
          <w:rFonts w:hint="eastAsia" w:ascii="宋体" w:hAnsi="宋体" w:cs="宋体"/>
          <w:sz w:val="21"/>
          <w:szCs w:val="21"/>
        </w:rPr>
        <w:t>众创指汇众智搞创新，众包指汇众力增就业，众扶指汇众能助创业，众筹指汇众资促发展。</w:t>
      </w:r>
    </w:p>
  </w:footnote>
  <w:footnote w:id="15">
    <w:p>
      <w:r>
        <w:rPr>
          <w:sz w:val="21"/>
          <w:szCs w:val="21"/>
        </w:rPr>
        <w:footnoteRef/>
      </w:r>
      <w:r>
        <w:rPr>
          <w:sz w:val="21"/>
          <w:szCs w:val="21"/>
        </w:rPr>
        <w:t xml:space="preserve"> </w:t>
      </w:r>
      <w:r>
        <w:rPr>
          <w:rFonts w:hint="eastAsia" w:cs="宋体"/>
          <w:sz w:val="21"/>
          <w:szCs w:val="21"/>
        </w:rPr>
        <w:t>是指由企业、大学、科研机构或其他组织机构，以企业的发展需求和各方的共同利益为基础，以提升产业技术创新能力为目标，以具有法律约束力的契约为保障，形成的联合开发、优势互补、利益共享、风险共担的技术创新合作组织。</w:t>
      </w:r>
    </w:p>
  </w:footnote>
  <w:footnote w:id="16">
    <w:p>
      <w:r>
        <w:rPr>
          <w:sz w:val="21"/>
          <w:szCs w:val="21"/>
        </w:rPr>
        <w:footnoteRef/>
      </w:r>
      <w:r>
        <w:rPr>
          <w:sz w:val="21"/>
          <w:szCs w:val="21"/>
        </w:rPr>
        <w:t xml:space="preserve"> </w:t>
      </w:r>
      <w:r>
        <w:rPr>
          <w:rFonts w:hint="eastAsia" w:cs="宋体"/>
          <w:sz w:val="21"/>
          <w:szCs w:val="21"/>
        </w:rPr>
        <w:t>又称开放源代码社区，一般由拥有共同兴趣爱好的人所组成，根据相应的开源软件许可证协议公布软件源代码的网络平台，为网络成员提供一个自由学习交流的空间。</w:t>
      </w:r>
    </w:p>
  </w:footnote>
  <w:footnote w:id="17">
    <w:p>
      <w:r>
        <w:rPr>
          <w:sz w:val="21"/>
          <w:szCs w:val="21"/>
        </w:rPr>
        <w:footnoteRef/>
      </w:r>
      <w:r>
        <w:rPr>
          <w:sz w:val="21"/>
          <w:szCs w:val="21"/>
        </w:rPr>
        <w:t xml:space="preserve"> </w:t>
      </w:r>
      <w:r>
        <w:rPr>
          <w:rFonts w:hint="eastAsia" w:cs="宋体"/>
          <w:sz w:val="21"/>
          <w:szCs w:val="21"/>
        </w:rPr>
        <w:t>又称共同沟，是指通过实施统一规划在城市地下建设用于集中敷设电力、通信、广播电视、给水、排水、热力、燃气等市政管线的公共隧道。</w:t>
      </w:r>
    </w:p>
  </w:footnote>
  <w:footnote w:id="18">
    <w:p>
      <w:r>
        <w:rPr>
          <w:sz w:val="21"/>
          <w:szCs w:val="21"/>
        </w:rPr>
        <w:footnoteRef/>
      </w:r>
      <w:r>
        <w:rPr>
          <w:sz w:val="21"/>
          <w:szCs w:val="21"/>
        </w:rPr>
        <w:t xml:space="preserve"> </w:t>
      </w:r>
      <w:r>
        <w:rPr>
          <w:rFonts w:hint="eastAsia" w:cs="宋体"/>
          <w:sz w:val="21"/>
          <w:szCs w:val="21"/>
        </w:rPr>
        <w:t>是指充分发挥原始地形地貌对降雨的积存作用，以及植被、土壤、湿地对水质的自然净化作用，使城市像“海绵”一样对雨水具有吸收和释放功能，能够弹性地适应环境变化和应对自然灾害。</w:t>
      </w:r>
    </w:p>
  </w:footnote>
  <w:footnote w:id="19">
    <w:p>
      <w:r>
        <w:rPr>
          <w:sz w:val="21"/>
          <w:szCs w:val="21"/>
        </w:rPr>
        <w:footnoteRef/>
      </w:r>
      <w:r>
        <w:rPr>
          <w:sz w:val="21"/>
          <w:szCs w:val="21"/>
        </w:rPr>
        <w:t xml:space="preserve"> </w:t>
      </w:r>
      <w:r>
        <w:rPr>
          <w:rFonts w:hint="eastAsia" w:cs="宋体"/>
          <w:sz w:val="21"/>
          <w:szCs w:val="21"/>
        </w:rPr>
        <w:t>这是由省委省政府批准设立，以省辖市复合型城市新区为基础，体现城乡一体、产业融合、统筹发展的复合型功能性区域，主要定位是建成率先实现工业化、城镇化、农业现代化、信息化的综合试验示范样板区。</w:t>
      </w:r>
    </w:p>
  </w:footnote>
  <w:footnote w:id="20">
    <w:p>
      <w:pPr>
        <w:widowControl/>
        <w:shd w:val="clear" w:color="auto" w:fill="FFFFFF"/>
        <w:spacing w:before="300" w:after="225" w:line="360" w:lineRule="atLeast"/>
        <w:jc w:val="left"/>
        <w:rPr>
          <w:sz w:val="21"/>
          <w:szCs w:val="21"/>
        </w:rPr>
      </w:pPr>
      <w:r>
        <w:rPr>
          <w:rFonts w:ascii="宋体"/>
          <w:color w:val="333333"/>
          <w:kern w:val="0"/>
          <w:sz w:val="21"/>
          <w:szCs w:val="21"/>
          <w:shd w:val="clear" w:color="auto" w:fill="FFFFFF"/>
        </w:rPr>
        <w:footnoteRef/>
      </w:r>
      <w:r>
        <w:rPr>
          <w:rFonts w:ascii="宋体" w:hAnsi="宋体" w:cs="宋体"/>
          <w:color w:val="333333"/>
          <w:kern w:val="0"/>
          <w:sz w:val="21"/>
          <w:szCs w:val="21"/>
          <w:shd w:val="clear" w:color="auto" w:fill="FFFFFF"/>
        </w:rPr>
        <w:t xml:space="preserve"> </w:t>
      </w:r>
      <w:r>
        <w:rPr>
          <w:sz w:val="21"/>
          <w:szCs w:val="21"/>
        </w:rPr>
        <w:fldChar w:fldCharType="begin"/>
      </w:r>
      <w:r>
        <w:rPr>
          <w:sz w:val="21"/>
          <w:szCs w:val="21"/>
        </w:rPr>
        <w:instrText xml:space="preserve">HYPERLINK "http://baike.baidu.com/subview/30514/8100299.htm" \t "http://baike.baidu.com/_blank"</w:instrText>
      </w:r>
      <w:r>
        <w:rPr>
          <w:sz w:val="21"/>
          <w:szCs w:val="21"/>
        </w:rPr>
        <w:fldChar w:fldCharType="separate"/>
      </w:r>
      <w:r>
        <w:rPr>
          <w:rFonts w:ascii="宋体" w:hAnsi="宋体" w:cs="宋体"/>
          <w:color w:val="333333"/>
          <w:kern w:val="0"/>
          <w:sz w:val="21"/>
          <w:szCs w:val="21"/>
          <w:shd w:val="clear" w:color="auto" w:fill="FFFFFF"/>
        </w:rPr>
        <w:t>PPP</w:t>
      </w:r>
      <w:r>
        <w:rPr>
          <w:sz w:val="21"/>
          <w:szCs w:val="21"/>
        </w:rPr>
        <w:fldChar w:fldCharType="end"/>
      </w:r>
      <w:r>
        <w:rPr>
          <w:rFonts w:hint="eastAsia" w:ascii="宋体" w:hAnsi="宋体" w:cs="宋体"/>
          <w:color w:val="333333"/>
          <w:kern w:val="0"/>
          <w:sz w:val="21"/>
          <w:szCs w:val="21"/>
          <w:shd w:val="clear" w:color="auto" w:fill="FFFFFF"/>
        </w:rPr>
        <w:t>（</w:t>
      </w:r>
      <w:r>
        <w:rPr>
          <w:rFonts w:ascii="宋体" w:hAnsi="宋体" w:cs="宋体"/>
          <w:color w:val="333333"/>
          <w:kern w:val="0"/>
          <w:sz w:val="21"/>
          <w:szCs w:val="21"/>
          <w:shd w:val="clear" w:color="auto" w:fill="FFFFFF"/>
        </w:rPr>
        <w:t>Public-Private-Partnership</w:t>
      </w:r>
      <w:r>
        <w:rPr>
          <w:rFonts w:hint="eastAsia" w:ascii="宋体" w:hAnsi="宋体" w:cs="宋体"/>
          <w:color w:val="333333"/>
          <w:kern w:val="0"/>
          <w:sz w:val="21"/>
          <w:szCs w:val="21"/>
          <w:shd w:val="clear" w:color="auto" w:fill="FFFFFF"/>
        </w:rPr>
        <w:t>），即公私合作模式，是公共基础设施中的一种项目融资模式。在该模式下，鼓励私营企业、民营资本与政府进行合作，参与公共基础设施建设。</w:t>
      </w:r>
    </w:p>
  </w:footnote>
  <w:footnote w:id="21">
    <w:p>
      <w:pPr>
        <w:spacing w:line="400" w:lineRule="exact"/>
        <w:rPr>
          <w:sz w:val="21"/>
          <w:szCs w:val="21"/>
        </w:rPr>
      </w:pPr>
      <w:r>
        <w:rPr>
          <w:rFonts w:ascii="宋体"/>
          <w:sz w:val="21"/>
          <w:szCs w:val="21"/>
        </w:rPr>
        <w:footnoteRef/>
      </w:r>
      <w:r>
        <w:rPr>
          <w:rFonts w:ascii="宋体" w:hAnsi="宋体" w:cs="宋体"/>
          <w:sz w:val="21"/>
          <w:szCs w:val="21"/>
        </w:rPr>
        <w:t xml:space="preserve"> </w:t>
      </w:r>
      <w:r>
        <w:rPr>
          <w:rFonts w:hint="eastAsia" w:ascii="宋体" w:hAnsi="宋体" w:cs="宋体"/>
          <w:sz w:val="21"/>
          <w:szCs w:val="21"/>
        </w:rPr>
        <w:t>一城：以平桥区为主体的城镇化、工业化重点区域；三农：以潢川、息县、淮滨三个县为主体的农产品主产区；五生态：以商城、新县、光山、罗山、浉河区为主体的重点生态功能区。</w:t>
      </w:r>
    </w:p>
  </w:footnote>
  <w:footnote w:id="22">
    <w:p>
      <w:r>
        <w:rPr>
          <w:sz w:val="21"/>
          <w:szCs w:val="21"/>
        </w:rPr>
        <w:footnoteRef/>
      </w:r>
      <w:r>
        <w:rPr>
          <w:sz w:val="21"/>
          <w:szCs w:val="21"/>
        </w:rPr>
        <w:t xml:space="preserve"> </w:t>
      </w:r>
      <w:r>
        <w:rPr>
          <w:rFonts w:hint="eastAsia" w:cs="宋体"/>
          <w:sz w:val="21"/>
          <w:szCs w:val="21"/>
        </w:rPr>
        <w:t>是指燃煤机组主要大气污染物排放浓度达到天然气发电机组排放限值要求，即在基准含氧量</w:t>
      </w:r>
      <w:r>
        <w:rPr>
          <w:sz w:val="21"/>
          <w:szCs w:val="21"/>
        </w:rPr>
        <w:t>6%</w:t>
      </w:r>
      <w:r>
        <w:rPr>
          <w:rFonts w:hint="eastAsia" w:cs="宋体"/>
          <w:sz w:val="21"/>
          <w:szCs w:val="21"/>
        </w:rPr>
        <w:t>条件下，烟尘、二氧化硫、氮氧化物排放浓度分别不高于</w:t>
      </w:r>
      <w:r>
        <w:rPr>
          <w:sz w:val="21"/>
          <w:szCs w:val="21"/>
        </w:rPr>
        <w:t>10</w:t>
      </w:r>
      <w:r>
        <w:rPr>
          <w:rFonts w:hint="eastAsia" w:cs="宋体"/>
          <w:sz w:val="21"/>
          <w:szCs w:val="21"/>
        </w:rPr>
        <w:t>、</w:t>
      </w:r>
      <w:r>
        <w:rPr>
          <w:sz w:val="21"/>
          <w:szCs w:val="21"/>
        </w:rPr>
        <w:t>35</w:t>
      </w:r>
      <w:r>
        <w:rPr>
          <w:rFonts w:hint="eastAsia" w:cs="宋体"/>
          <w:sz w:val="21"/>
          <w:szCs w:val="21"/>
        </w:rPr>
        <w:t>和</w:t>
      </w:r>
      <w:r>
        <w:rPr>
          <w:sz w:val="21"/>
          <w:szCs w:val="21"/>
        </w:rPr>
        <w:t>50</w:t>
      </w:r>
      <w:r>
        <w:rPr>
          <w:rFonts w:hint="eastAsia" w:cs="宋体"/>
          <w:sz w:val="21"/>
          <w:szCs w:val="21"/>
        </w:rPr>
        <w:t>毫克</w:t>
      </w:r>
      <w:r>
        <w:rPr>
          <w:sz w:val="21"/>
          <w:szCs w:val="21"/>
        </w:rPr>
        <w:t>/</w:t>
      </w:r>
      <w:r>
        <w:rPr>
          <w:rFonts w:hint="eastAsia" w:cs="宋体"/>
          <w:sz w:val="21"/>
          <w:szCs w:val="21"/>
        </w:rPr>
        <w:t>立方米。</w:t>
      </w:r>
    </w:p>
  </w:footnote>
  <w:footnote w:id="23">
    <w:p>
      <w:r>
        <w:rPr>
          <w:sz w:val="21"/>
          <w:szCs w:val="21"/>
        </w:rPr>
        <w:footnoteRef/>
      </w:r>
      <w:r>
        <w:t xml:space="preserve"> </w:t>
      </w:r>
      <w:r>
        <w:rPr>
          <w:rFonts w:hint="eastAsia" w:cs="宋体"/>
          <w:sz w:val="21"/>
          <w:szCs w:val="21"/>
        </w:rPr>
        <w:t>是指从金属资源回收循环利用的角度，把城市比喻成可以开发的储有优良矿产资源矿山，包括废旧机电、通讯设备、家电、电子产品等。</w:t>
      </w:r>
    </w:p>
  </w:footnote>
  <w:footnote w:id="24">
    <w:p>
      <w:r>
        <w:rPr>
          <w:sz w:val="21"/>
          <w:szCs w:val="21"/>
        </w:rPr>
        <w:footnoteRef/>
      </w:r>
      <w:r>
        <w:rPr>
          <w:sz w:val="21"/>
          <w:szCs w:val="21"/>
        </w:rPr>
        <w:t xml:space="preserve"> </w:t>
      </w:r>
      <w:r>
        <w:rPr>
          <w:rFonts w:hint="eastAsia" w:cs="宋体"/>
          <w:sz w:val="21"/>
          <w:szCs w:val="21"/>
        </w:rPr>
        <w:t>指通过构建若干循环产业链，把传统的“资源</w:t>
      </w:r>
      <w:r>
        <w:rPr>
          <w:rFonts w:hint="eastAsia"/>
          <w:sz w:val="21"/>
          <w:szCs w:val="21"/>
        </w:rPr>
        <w:t>-</w:t>
      </w:r>
      <w:r>
        <w:rPr>
          <w:rFonts w:hint="eastAsia" w:cs="宋体"/>
          <w:sz w:val="21"/>
          <w:szCs w:val="21"/>
        </w:rPr>
        <w:t>产品</w:t>
      </w:r>
      <w:r>
        <w:rPr>
          <w:rFonts w:hint="eastAsia"/>
          <w:sz w:val="21"/>
          <w:szCs w:val="21"/>
        </w:rPr>
        <w:t>-</w:t>
      </w:r>
      <w:r>
        <w:rPr>
          <w:rFonts w:hint="eastAsia" w:cs="宋体"/>
          <w:sz w:val="21"/>
          <w:szCs w:val="21"/>
        </w:rPr>
        <w:t>废弃物”线性经济模式改造为“资源</w:t>
      </w:r>
      <w:r>
        <w:rPr>
          <w:rFonts w:hint="eastAsia"/>
          <w:sz w:val="21"/>
          <w:szCs w:val="21"/>
        </w:rPr>
        <w:t>-</w:t>
      </w:r>
      <w:r>
        <w:rPr>
          <w:rFonts w:hint="eastAsia" w:cs="宋体"/>
          <w:sz w:val="21"/>
          <w:szCs w:val="21"/>
        </w:rPr>
        <w:t>产品</w:t>
      </w:r>
      <w:r>
        <w:rPr>
          <w:rFonts w:hint="eastAsia"/>
          <w:sz w:val="21"/>
          <w:szCs w:val="21"/>
        </w:rPr>
        <w:t>-</w:t>
      </w:r>
      <w:r>
        <w:rPr>
          <w:rFonts w:hint="eastAsia" w:cs="宋体"/>
          <w:sz w:val="21"/>
          <w:szCs w:val="21"/>
        </w:rPr>
        <w:t>再生资源”闭环经济模式，实现资源循环利用。</w:t>
      </w:r>
    </w:p>
  </w:footnote>
  <w:footnote w:id="25">
    <w:p>
      <w:r>
        <w:rPr>
          <w:sz w:val="21"/>
          <w:szCs w:val="21"/>
        </w:rPr>
        <w:footnoteRef/>
      </w:r>
      <w:r>
        <w:rPr>
          <w:sz w:val="21"/>
          <w:szCs w:val="21"/>
        </w:rPr>
        <w:t xml:space="preserve"> </w:t>
      </w:r>
      <w:r>
        <w:rPr>
          <w:rFonts w:hint="eastAsia" w:cs="宋体"/>
          <w:sz w:val="21"/>
          <w:szCs w:val="21"/>
        </w:rPr>
        <w:t>是指从空气中清除二氧化碳的过程、活动、机制，具体主要表现为森林吸收并储存二氧化碳的多少。</w:t>
      </w:r>
    </w:p>
  </w:footnote>
  <w:footnote w:id="26">
    <w:p>
      <w:r>
        <w:rPr>
          <w:sz w:val="21"/>
          <w:szCs w:val="21"/>
        </w:rPr>
        <w:footnoteRef/>
      </w:r>
      <w:r>
        <w:t xml:space="preserve"> </w:t>
      </w:r>
      <w:r>
        <w:rPr>
          <w:rFonts w:hint="eastAsia" w:cs="宋体"/>
          <w:sz w:val="21"/>
          <w:szCs w:val="21"/>
        </w:rPr>
        <w:t>以气体燃料或可再生能源为一次能源，独立输出或联产冷、热、电等二次能源，并与蓄能技术结合直接满足用户多种需求，其他公用能源供应系统提供支持和补充。</w:t>
      </w:r>
    </w:p>
  </w:footnote>
  <w:footnote w:id="27">
    <w:p>
      <w:r>
        <w:rPr>
          <w:sz w:val="21"/>
          <w:szCs w:val="21"/>
        </w:rPr>
        <w:footnoteRef/>
      </w:r>
      <w:r>
        <w:rPr>
          <w:sz w:val="21"/>
          <w:szCs w:val="21"/>
        </w:rPr>
        <w:t xml:space="preserve"> </w:t>
      </w:r>
      <w:r>
        <w:rPr>
          <w:rFonts w:hint="eastAsia" w:cs="宋体"/>
          <w:sz w:val="21"/>
          <w:szCs w:val="21"/>
        </w:rPr>
        <w:t>通常由多种形式的分布式能源、智能微电网和智能冷热网组成，通过对整个能源系统的数字化管理，将多种供能方式有机结合和分配。</w:t>
      </w:r>
    </w:p>
  </w:footnote>
  <w:footnote w:id="28">
    <w:p>
      <w:r>
        <w:rPr>
          <w:sz w:val="21"/>
          <w:szCs w:val="21"/>
        </w:rPr>
        <w:footnoteRef/>
      </w:r>
      <w:r>
        <w:rPr>
          <w:sz w:val="21"/>
          <w:szCs w:val="21"/>
        </w:rPr>
        <w:t xml:space="preserve"> </w:t>
      </w:r>
      <w:r>
        <w:rPr>
          <w:rFonts w:hint="eastAsia" w:cs="宋体"/>
          <w:sz w:val="21"/>
          <w:szCs w:val="21"/>
        </w:rPr>
        <w:t>通常由多种形式的分布式能源、智能微电网和智能冷热网组成，主要应用于城市、工业区、开发区等能源负荷较大的区域，并通过对整个能源系统的数字化管理，将多种供能方式有机结合和分配，不但可以实施电力能源的管理，还兼顾所在区域内供冷、供热、供水、供气等其他能源的供配用控制，实现多类型能源的协同生产、合理分配、梯级高效利用和资源互补。</w:t>
      </w:r>
    </w:p>
  </w:footnote>
  <w:footnote w:id="29">
    <w:p>
      <w:r>
        <w:rPr>
          <w:sz w:val="21"/>
          <w:szCs w:val="21"/>
        </w:rPr>
        <w:footnoteRef/>
      </w:r>
      <w:r>
        <w:rPr>
          <w:sz w:val="21"/>
          <w:szCs w:val="21"/>
        </w:rPr>
        <w:t xml:space="preserve"> </w:t>
      </w:r>
      <w:r>
        <w:rPr>
          <w:rFonts w:hint="eastAsia" w:cs="宋体"/>
          <w:sz w:val="21"/>
          <w:szCs w:val="21"/>
        </w:rPr>
        <w:t>指由企业、大学、科研机构或其他机构，以企业的发展需求和各方的共同利益为基础，以提升产业技术创新能力为目标，以具有法律约束力的契约为保障，形成的联合开发、优势互补、利益共享、风险共担的技术创新合作组织。</w:t>
      </w:r>
    </w:p>
  </w:footnote>
  <w:footnote w:id="30">
    <w:p>
      <w:r>
        <w:rPr>
          <w:sz w:val="21"/>
          <w:szCs w:val="21"/>
        </w:rPr>
        <w:footnoteRef/>
      </w:r>
      <w:r>
        <w:rPr>
          <w:sz w:val="21"/>
          <w:szCs w:val="21"/>
        </w:rPr>
        <w:t xml:space="preserve"> </w:t>
      </w:r>
      <w:r>
        <w:rPr>
          <w:rFonts w:hint="eastAsia" w:cs="宋体"/>
          <w:sz w:val="21"/>
          <w:szCs w:val="21"/>
        </w:rPr>
        <w:t>第五代移动通信及其技术的简称。</w:t>
      </w:r>
    </w:p>
  </w:footnote>
  <w:footnote w:id="31">
    <w:p>
      <w:r>
        <w:rPr>
          <w:sz w:val="21"/>
          <w:szCs w:val="21"/>
        </w:rPr>
        <w:footnoteRef/>
      </w:r>
      <w:r>
        <w:rPr>
          <w:sz w:val="21"/>
          <w:szCs w:val="21"/>
        </w:rPr>
        <w:t xml:space="preserve"> </w:t>
      </w:r>
      <w:r>
        <w:rPr>
          <w:rFonts w:hint="eastAsia" w:cs="宋体"/>
          <w:sz w:val="21"/>
          <w:szCs w:val="21"/>
        </w:rPr>
        <w:t>郑欧国际铁路货运班列，是郑州航空港经济综合实验区的重要配套项目。</w:t>
      </w:r>
    </w:p>
  </w:footnote>
  <w:footnote w:id="32">
    <w:p>
      <w:pPr>
        <w:widowControl/>
        <w:shd w:val="clear" w:color="auto" w:fill="FFFFFF"/>
        <w:spacing w:before="300" w:after="225" w:line="360" w:lineRule="atLeast"/>
        <w:jc w:val="left"/>
        <w:rPr>
          <w:sz w:val="21"/>
          <w:szCs w:val="21"/>
        </w:rPr>
      </w:pPr>
      <w:r>
        <w:rPr>
          <w:rFonts w:ascii="宋体"/>
          <w:color w:val="333333"/>
          <w:kern w:val="0"/>
          <w:sz w:val="21"/>
          <w:szCs w:val="21"/>
          <w:shd w:val="clear" w:color="auto" w:fill="FFFFFF"/>
        </w:rPr>
        <w:footnoteRef/>
      </w:r>
      <w:r>
        <w:rPr>
          <w:rFonts w:ascii="宋体" w:hAnsi="宋体" w:cs="宋体"/>
          <w:color w:val="333333"/>
          <w:kern w:val="0"/>
          <w:sz w:val="21"/>
          <w:szCs w:val="21"/>
          <w:shd w:val="clear" w:color="auto" w:fill="FFFFFF"/>
        </w:rPr>
        <w:t xml:space="preserve"> </w:t>
      </w:r>
      <w:r>
        <w:rPr>
          <w:rFonts w:hint="eastAsia" w:ascii="宋体" w:hAnsi="宋体" w:cs="宋体"/>
          <w:color w:val="333333"/>
          <w:kern w:val="0"/>
          <w:sz w:val="21"/>
          <w:szCs w:val="21"/>
          <w:shd w:val="clear" w:color="auto" w:fill="FFFFFF"/>
        </w:rPr>
        <w:t>是指经海关批准，由中国境内一家企业</w:t>
      </w:r>
      <w:r>
        <w:rPr>
          <w:sz w:val="21"/>
          <w:szCs w:val="21"/>
        </w:rPr>
        <w:fldChar w:fldCharType="begin"/>
      </w:r>
      <w:r>
        <w:rPr>
          <w:sz w:val="21"/>
          <w:szCs w:val="21"/>
        </w:rPr>
        <w:instrText xml:space="preserve">HYPERLINK "http://baike.baidu.com/view/10873.htm" \t "http://baike.baidu.com/_blank"</w:instrText>
      </w:r>
      <w:r>
        <w:rPr>
          <w:sz w:val="21"/>
          <w:szCs w:val="21"/>
        </w:rPr>
        <w:fldChar w:fldCharType="separate"/>
      </w:r>
      <w:r>
        <w:rPr>
          <w:rFonts w:hint="eastAsia" w:ascii="宋体" w:hAnsi="宋体" w:cs="宋体"/>
          <w:color w:val="333333"/>
          <w:kern w:val="0"/>
          <w:sz w:val="21"/>
          <w:szCs w:val="21"/>
          <w:shd w:val="clear" w:color="auto" w:fill="FFFFFF"/>
        </w:rPr>
        <w:t>法人</w:t>
      </w:r>
      <w:r>
        <w:rPr>
          <w:sz w:val="21"/>
          <w:szCs w:val="21"/>
        </w:rPr>
        <w:fldChar w:fldCharType="end"/>
      </w:r>
      <w:r>
        <w:rPr>
          <w:rFonts w:hint="eastAsia" w:ascii="宋体" w:hAnsi="宋体" w:cs="宋体"/>
          <w:color w:val="333333"/>
          <w:kern w:val="0"/>
          <w:sz w:val="21"/>
          <w:szCs w:val="21"/>
          <w:shd w:val="clear" w:color="auto" w:fill="FFFFFF"/>
        </w:rPr>
        <w:t>经营，多家企业进入并从事保税仓储物流业务的海关集中监管场所。</w:t>
      </w:r>
    </w:p>
  </w:footnote>
  <w:footnote w:id="33">
    <w:p>
      <w:r>
        <w:rPr>
          <w:sz w:val="21"/>
          <w:szCs w:val="21"/>
        </w:rPr>
        <w:footnoteRef/>
      </w:r>
      <w:r>
        <w:rPr>
          <w:sz w:val="21"/>
          <w:szCs w:val="21"/>
        </w:rPr>
        <w:t xml:space="preserve"> </w:t>
      </w:r>
      <w:r>
        <w:rPr>
          <w:rFonts w:hint="eastAsia" w:cs="宋体"/>
          <w:sz w:val="21"/>
          <w:szCs w:val="21"/>
        </w:rPr>
        <w:t>是指人力资源网上超市、劳动力市场招聘集市、培训就业和社保服务门市；人力资源库。</w:t>
      </w:r>
    </w:p>
  </w:footnote>
  <w:footnote w:id="34">
    <w:p>
      <w:r>
        <w:rPr>
          <w:sz w:val="21"/>
          <w:szCs w:val="21"/>
        </w:rPr>
        <w:footnoteRef/>
      </w:r>
      <w:r>
        <w:rPr>
          <w:sz w:val="21"/>
          <w:szCs w:val="21"/>
        </w:rPr>
        <w:t xml:space="preserve"> </w:t>
      </w:r>
      <w:r>
        <w:rPr>
          <w:rFonts w:hint="eastAsia" w:cs="宋体"/>
          <w:sz w:val="21"/>
          <w:szCs w:val="21"/>
        </w:rPr>
        <w:t>是打造平安河南的基本目标、基本途径和基本保障。“双安”是基本目标，就是安全稳定、安居乐业；“双治”是基本途径，就是德治和法治；“双基”是基本保障，就是基层组织和基础制度。</w:t>
      </w:r>
    </w:p>
  </w:footnote>
  <w:footnote w:id="35">
    <w:p>
      <w:r>
        <w:rPr>
          <w:sz w:val="21"/>
          <w:szCs w:val="21"/>
        </w:rPr>
        <w:footnoteRef/>
      </w:r>
      <w:r>
        <w:rPr>
          <w:sz w:val="21"/>
          <w:szCs w:val="21"/>
        </w:rPr>
        <w:t xml:space="preserve"> </w:t>
      </w:r>
      <w:r>
        <w:rPr>
          <w:rFonts w:hint="eastAsia" w:cs="宋体"/>
          <w:sz w:val="21"/>
          <w:szCs w:val="21"/>
        </w:rPr>
        <w:t>是指在基层建立健全民主科学决策、矛盾调解化解、便民服务和党风政风监督检查四项基础制度，在县级以上机关建立健全民主集中制、严肃党内政治生活、干部选拔任用和反腐倡廉四项基础制度，在各级党组织和国家机关建立健全权力规范运行和全面从严治党监督检查问责两项机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D568D"/>
    <w:rsid w:val="5E5D56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cs="Times New Roman"/>
      <w:kern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楷体" w:cs="Arial"/>
      <w:b/>
      <w:bCs/>
    </w:rPr>
  </w:style>
  <w:style w:type="paragraph" w:styleId="4">
    <w:name w:val="heading 3"/>
    <w:basedOn w:val="1"/>
    <w:next w:val="1"/>
    <w:unhideWhenUsed/>
    <w:qFormat/>
    <w:uiPriority w:val="0"/>
    <w:pPr>
      <w:keepNext/>
      <w:keepLines/>
      <w:spacing w:before="260" w:after="260" w:line="416" w:lineRule="auto"/>
      <w:outlineLvl w:val="2"/>
    </w:pPr>
    <w:rPr>
      <w:rFonts w:eastAsia="仿宋_GB2312" w:cs="Times New Roman"/>
      <w:b/>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footnote text"/>
    <w:basedOn w:val="1"/>
    <w:link w:val="8"/>
    <w:uiPriority w:val="0"/>
    <w:pPr>
      <w:snapToGrid w:val="0"/>
      <w:jc w:val="left"/>
    </w:pPr>
    <w:rPr>
      <w:rFonts w:eastAsia="Times New Roman" w:cs="Times New Roman"/>
      <w:kern w:val="0"/>
      <w:sz w:val="18"/>
      <w:szCs w:val="18"/>
    </w:rPr>
  </w:style>
  <w:style w:type="character" w:customStyle="1" w:styleId="8">
    <w:name w:val="脚注文本 Char"/>
    <w:link w:val="5"/>
    <w:uiPriority w:val="0"/>
    <w:rPr>
      <w:rFonts w:eastAsia="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2016-06-06T00:32:00Z</dcterms:created>
  <dc:creator>Administrator</dc:creator>
  <cp:lastModifiedBy>Administrator</cp:lastModifiedBy>
  <dcterms:modified xsi:type="dcterms:W3CDTF">2016-06-06T00:36:02Z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