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rPr>
          <w:rFonts w:eastAsia="黑体" w:cs="Times New Roman"/>
          <w:kern w:val="0"/>
        </w:rPr>
      </w:pPr>
      <w:r>
        <w:rPr>
          <w:rFonts w:eastAsia="黑体" w:cs="Times New Roman"/>
          <w:kern w:val="0"/>
        </w:rPr>
        <w:t>附 件</w:t>
      </w:r>
    </w:p>
    <w:p>
      <w:pPr>
        <w:pStyle w:val="4"/>
        <w:ind w:firstLine="1385" w:firstLineChars="350"/>
        <w:rPr>
          <w:rFonts w:ascii="Times New Roman" w:hAnsi="Times New Roman" w:cs="Times New Roman"/>
        </w:rPr>
      </w:pPr>
      <w:bookmarkStart w:id="1" w:name="_GoBack"/>
      <w:bookmarkStart w:id="0" w:name="OLE_LINK1"/>
      <w:r>
        <w:rPr>
          <w:rFonts w:ascii="Times New Roman" w:hAnsi="Times New Roman" w:cs="Times New Roman"/>
        </w:rPr>
        <w:t>重点任务分工及工作进度安排表</w:t>
      </w:r>
      <w:bookmarkEnd w:id="1"/>
      <w:bookmarkEnd w:id="0"/>
    </w:p>
    <w:tbl>
      <w:tblPr>
        <w:tblStyle w:val="3"/>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4690"/>
        <w:gridCol w:w="279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eastAsia="黑体" w:cs="Times New Roman"/>
                <w:kern w:val="0"/>
                <w:sz w:val="28"/>
                <w:szCs w:val="22"/>
              </w:rPr>
            </w:pPr>
            <w:r>
              <w:rPr>
                <w:rFonts w:eastAsia="黑体" w:cs="Times New Roman"/>
                <w:kern w:val="0"/>
                <w:sz w:val="28"/>
                <w:szCs w:val="22"/>
              </w:rPr>
              <w:t>序号</w:t>
            </w:r>
          </w:p>
        </w:tc>
        <w:tc>
          <w:tcPr>
            <w:tcW w:w="4690" w:type="dxa"/>
            <w:vAlign w:val="center"/>
          </w:tcPr>
          <w:p>
            <w:pPr>
              <w:widowControl/>
              <w:spacing w:line="360" w:lineRule="exact"/>
              <w:jc w:val="center"/>
              <w:rPr>
                <w:rFonts w:eastAsia="黑体" w:cs="Times New Roman"/>
                <w:kern w:val="0"/>
                <w:sz w:val="28"/>
                <w:szCs w:val="22"/>
              </w:rPr>
            </w:pPr>
            <w:r>
              <w:rPr>
                <w:rFonts w:eastAsia="黑体" w:cs="Times New Roman"/>
                <w:kern w:val="0"/>
                <w:sz w:val="28"/>
                <w:szCs w:val="22"/>
              </w:rPr>
              <w:t>工作任务</w:t>
            </w:r>
          </w:p>
        </w:tc>
        <w:tc>
          <w:tcPr>
            <w:tcW w:w="2791" w:type="dxa"/>
            <w:vAlign w:val="center"/>
          </w:tcPr>
          <w:p>
            <w:pPr>
              <w:widowControl/>
              <w:spacing w:line="360" w:lineRule="exact"/>
              <w:jc w:val="center"/>
              <w:rPr>
                <w:rFonts w:eastAsia="黑体" w:cs="Times New Roman"/>
                <w:kern w:val="0"/>
                <w:sz w:val="28"/>
                <w:szCs w:val="22"/>
              </w:rPr>
            </w:pPr>
            <w:r>
              <w:rPr>
                <w:rFonts w:eastAsia="黑体" w:cs="Times New Roman"/>
                <w:kern w:val="0"/>
                <w:sz w:val="28"/>
                <w:szCs w:val="22"/>
              </w:rPr>
              <w:t>责任单位</w:t>
            </w:r>
          </w:p>
        </w:tc>
        <w:tc>
          <w:tcPr>
            <w:tcW w:w="1433" w:type="dxa"/>
            <w:vAlign w:val="center"/>
          </w:tcPr>
          <w:p>
            <w:pPr>
              <w:widowControl/>
              <w:spacing w:line="360" w:lineRule="exact"/>
              <w:jc w:val="center"/>
              <w:rPr>
                <w:rFonts w:eastAsia="黑体" w:cs="Times New Roman"/>
                <w:kern w:val="0"/>
                <w:sz w:val="28"/>
                <w:szCs w:val="22"/>
              </w:rPr>
            </w:pPr>
            <w:r>
              <w:rPr>
                <w:rFonts w:eastAsia="黑体" w:cs="Times New Roman"/>
                <w:kern w:val="0"/>
                <w:sz w:val="28"/>
                <w:szCs w:val="22"/>
              </w:rPr>
              <w:t>时间</w:t>
            </w:r>
          </w:p>
          <w:p>
            <w:pPr>
              <w:widowControl/>
              <w:spacing w:line="360" w:lineRule="exact"/>
              <w:jc w:val="center"/>
              <w:rPr>
                <w:rFonts w:eastAsia="黑体" w:cs="Times New Roman"/>
                <w:kern w:val="0"/>
                <w:sz w:val="28"/>
                <w:szCs w:val="22"/>
              </w:rPr>
            </w:pPr>
            <w:r>
              <w:rPr>
                <w:rFonts w:eastAsia="黑体" w:cs="Times New Roman"/>
                <w:kern w:val="0"/>
                <w:sz w:val="28"/>
                <w:szCs w:val="22"/>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w:t>
            </w:r>
          </w:p>
        </w:tc>
        <w:tc>
          <w:tcPr>
            <w:tcW w:w="4690" w:type="dxa"/>
            <w:vAlign w:val="center"/>
          </w:tcPr>
          <w:p>
            <w:pPr>
              <w:widowControl/>
              <w:spacing w:line="360" w:lineRule="exact"/>
              <w:rPr>
                <w:rFonts w:cs="Times New Roman"/>
                <w:kern w:val="0"/>
                <w:sz w:val="28"/>
                <w:szCs w:val="28"/>
              </w:rPr>
            </w:pPr>
            <w:r>
              <w:rPr>
                <w:rFonts w:cs="Times New Roman"/>
                <w:kern w:val="0"/>
                <w:sz w:val="28"/>
                <w:szCs w:val="28"/>
              </w:rPr>
              <w:t>探索捐赠知识产权收益、技术、股权、有价证券等新型捐赠方式</w:t>
            </w:r>
          </w:p>
        </w:tc>
        <w:tc>
          <w:tcPr>
            <w:tcW w:w="2791" w:type="dxa"/>
            <w:vAlign w:val="center"/>
          </w:tcPr>
          <w:p>
            <w:pPr>
              <w:widowControl/>
              <w:spacing w:line="360" w:lineRule="exact"/>
              <w:rPr>
                <w:rFonts w:cs="Times New Roman"/>
                <w:kern w:val="0"/>
                <w:sz w:val="28"/>
                <w:szCs w:val="28"/>
              </w:rPr>
            </w:pPr>
            <w:r>
              <w:rPr>
                <w:rFonts w:cs="Times New Roman"/>
                <w:kern w:val="0"/>
                <w:sz w:val="28"/>
                <w:szCs w:val="28"/>
              </w:rPr>
              <w:t>民政局、国税局、地税局、证监局、科技局、知识产权局、财政局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2</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鼓励设立慈善信托</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民政局、银监局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3</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动员社会公众积极参与志愿服务、构建形式多样、内容丰富、机制健全、覆盖城乡的志愿服务体系</w:t>
            </w:r>
          </w:p>
        </w:tc>
        <w:tc>
          <w:tcPr>
            <w:tcW w:w="2791" w:type="dxa"/>
            <w:vAlign w:val="center"/>
          </w:tcPr>
          <w:p>
            <w:pPr>
              <w:widowControl/>
              <w:spacing w:line="360" w:lineRule="exact"/>
              <w:rPr>
                <w:rFonts w:cs="Times New Roman"/>
                <w:kern w:val="0"/>
                <w:sz w:val="28"/>
                <w:szCs w:val="28"/>
              </w:rPr>
            </w:pPr>
            <w:r>
              <w:rPr>
                <w:rFonts w:cs="Times New Roman"/>
                <w:kern w:val="0"/>
                <w:sz w:val="28"/>
                <w:szCs w:val="28"/>
              </w:rPr>
              <w:t>文明办、民政局、总工会、团市委、妇联、残联</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4</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引导社会公众积极捐赠家庭闲置物品，广泛设立社会捐赠站点，创新发展慈善超市，发挥网络捐赠技术优势，方便群众就近就便开展捐赠</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民政局、发展改革委</w:t>
            </w:r>
          </w:p>
        </w:tc>
        <w:tc>
          <w:tcPr>
            <w:tcW w:w="1433" w:type="dxa"/>
            <w:vAlign w:val="center"/>
          </w:tcPr>
          <w:p>
            <w:pPr>
              <w:spacing w:line="360" w:lineRule="exact"/>
              <w:jc w:val="center"/>
              <w:rPr>
                <w:rFonts w:cs="Times New Roman"/>
                <w:sz w:val="28"/>
                <w:szCs w:val="28"/>
              </w:rPr>
            </w:pPr>
            <w:r>
              <w:rPr>
                <w:rFonts w:cs="Times New Roman"/>
                <w:spacing w:val="-6"/>
                <w:sz w:val="28"/>
                <w:szCs w:val="28"/>
              </w:rPr>
              <w:t>2016年</w:t>
            </w:r>
            <w:r>
              <w:rPr>
                <w:rFonts w:cs="Times New Roman"/>
                <w:sz w:val="28"/>
                <w:szCs w:val="28"/>
              </w:rPr>
              <w:t>12月底前出台具体措施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5</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健全社会救助和慈善资源信息对接机制</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民政局、教育局、卫生计生委、住房城乡建筑局、房管中心、人力资源和社会保障局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6</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落实慈善组织企业所得税优惠政策</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财政局、国税局、地税局、民政局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7</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倡导金融机构根据慈善事业的特点和需求创新金融产品和服务方式</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人行信阳分行、银监局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8</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以扶贫济困类项目为重点，加大政府财政资金向社会组织购买服务力度</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财政局、民政局等相关部门</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9</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广播、电视、报刊及互联网信息服务提供者、电信运营商，应当对利用平台发起募捐活动的慈善组织的合法性进行验证，包括查验登记证书、募捐主体资格证明材料</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市委宣传部、网信办、民政局、文化广电新闻出版局、通信管理局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10</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倡导募用分离，支持在款物募集方面有优势的慈善组织将募得款物用于资助有服务专长的慈善组织运作项目</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民政局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11</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强化慈善组织信息公开责任，鼓励新闻媒体为慈善组织的信息公开提供帮助支持和费用优惠</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市委宣传部、网信办、文化广电新闻出版局、民政局</w:t>
            </w:r>
          </w:p>
        </w:tc>
        <w:tc>
          <w:tcPr>
            <w:tcW w:w="1433" w:type="dxa"/>
            <w:vAlign w:val="center"/>
          </w:tcPr>
          <w:p>
            <w:pPr>
              <w:spacing w:line="360" w:lineRule="exact"/>
              <w:jc w:val="center"/>
              <w:rPr>
                <w:rFonts w:cs="Times New Roman"/>
                <w:kern w:val="0"/>
                <w:sz w:val="28"/>
                <w:szCs w:val="28"/>
              </w:rPr>
            </w:pPr>
            <w:r>
              <w:rPr>
                <w:rFonts w:cs="Times New Roman"/>
                <w:spacing w:val="-6"/>
                <w:sz w:val="28"/>
                <w:szCs w:val="28"/>
              </w:rPr>
              <w:t>2016年</w:t>
            </w:r>
            <w:r>
              <w:rPr>
                <w:rFonts w:cs="Times New Roman"/>
                <w:sz w:val="28"/>
                <w:szCs w:val="28"/>
              </w:rPr>
              <w:t>10月底前出台具体措施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12</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建立健全慈善活动和慈善工作责任追究制度</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民政局、公安局、国家安全局、市政府外侨办</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13</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完善慈善表彰奖励制度</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市委宣传部、民政局、人力资源和社会保障局、各县区政府</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14</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完善公民志愿服务记录制度，按照国家有关规定建立完善志愿者嘉许和回馈制度</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文明办、民政局、团市委</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15</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完善慈善人才培养政策</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教育局、人力资源和社会保障局、民政局</w:t>
            </w:r>
          </w:p>
        </w:tc>
        <w:tc>
          <w:tcPr>
            <w:tcW w:w="1433" w:type="dxa"/>
            <w:vAlign w:val="center"/>
          </w:tcPr>
          <w:p>
            <w:pPr>
              <w:spacing w:line="360" w:lineRule="exact"/>
              <w:jc w:val="center"/>
              <w:rPr>
                <w:rFonts w:cs="Times New Roman"/>
                <w:kern w:val="0"/>
                <w:sz w:val="28"/>
                <w:szCs w:val="28"/>
              </w:rPr>
            </w:pPr>
            <w:r>
              <w:rPr>
                <w:rFonts w:cs="Times New Roman"/>
                <w:spacing w:val="-6"/>
                <w:sz w:val="28"/>
                <w:szCs w:val="28"/>
              </w:rPr>
              <w:t>2016年</w:t>
            </w:r>
            <w:r>
              <w:rPr>
                <w:rFonts w:cs="Times New Roman"/>
                <w:sz w:val="28"/>
                <w:szCs w:val="28"/>
              </w:rPr>
              <w:t>12月底前出台具体措施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16</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大力推进慈善文化建设，加大对慈善工作的宣传力度</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市委宣传部、网信办、国资委、教育局、文化广电新闻出版局、通信管理局、民政局</w:t>
            </w:r>
          </w:p>
        </w:tc>
        <w:tc>
          <w:tcPr>
            <w:tcW w:w="1433" w:type="dxa"/>
            <w:vAlign w:val="center"/>
          </w:tcPr>
          <w:p>
            <w:pPr>
              <w:widowControl/>
              <w:spacing w:line="360" w:lineRule="exact"/>
              <w:jc w:val="center"/>
              <w:rPr>
                <w:rFonts w:cs="Times New Roman"/>
                <w:kern w:val="0"/>
                <w:sz w:val="28"/>
                <w:szCs w:val="28"/>
              </w:rPr>
            </w:pPr>
            <w:r>
              <w:rPr>
                <w:rFonts w:cs="Times New Roman"/>
                <w:kern w:val="0"/>
                <w:sz w:val="28"/>
                <w:szCs w:val="2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545" w:type="dxa"/>
            <w:vAlign w:val="center"/>
          </w:tcPr>
          <w:p>
            <w:pPr>
              <w:widowControl/>
              <w:spacing w:line="360" w:lineRule="exact"/>
              <w:jc w:val="center"/>
              <w:rPr>
                <w:rFonts w:cs="Times New Roman"/>
                <w:kern w:val="0"/>
                <w:sz w:val="28"/>
                <w:szCs w:val="28"/>
              </w:rPr>
            </w:pPr>
            <w:r>
              <w:rPr>
                <w:rFonts w:cs="Times New Roman"/>
                <w:kern w:val="0"/>
                <w:sz w:val="28"/>
                <w:szCs w:val="28"/>
              </w:rPr>
              <w:t>17</w:t>
            </w:r>
          </w:p>
        </w:tc>
        <w:tc>
          <w:tcPr>
            <w:tcW w:w="4690" w:type="dxa"/>
            <w:vAlign w:val="center"/>
          </w:tcPr>
          <w:p>
            <w:pPr>
              <w:widowControl/>
              <w:spacing w:line="360" w:lineRule="exact"/>
              <w:jc w:val="left"/>
              <w:rPr>
                <w:rFonts w:cs="Times New Roman"/>
                <w:kern w:val="0"/>
                <w:sz w:val="28"/>
                <w:szCs w:val="28"/>
              </w:rPr>
            </w:pPr>
            <w:r>
              <w:rPr>
                <w:rFonts w:cs="Times New Roman"/>
                <w:kern w:val="0"/>
                <w:sz w:val="28"/>
                <w:szCs w:val="28"/>
              </w:rPr>
              <w:t>各县（区）政府根据本意见要求，结合实际抓紧制定配套落实政策</w:t>
            </w:r>
          </w:p>
        </w:tc>
        <w:tc>
          <w:tcPr>
            <w:tcW w:w="2791" w:type="dxa"/>
            <w:vAlign w:val="center"/>
          </w:tcPr>
          <w:p>
            <w:pPr>
              <w:widowControl/>
              <w:spacing w:line="360" w:lineRule="exact"/>
              <w:jc w:val="left"/>
              <w:rPr>
                <w:rFonts w:cs="Times New Roman"/>
                <w:kern w:val="0"/>
                <w:sz w:val="28"/>
                <w:szCs w:val="28"/>
              </w:rPr>
            </w:pPr>
            <w:r>
              <w:rPr>
                <w:rFonts w:cs="Times New Roman"/>
                <w:kern w:val="0"/>
                <w:sz w:val="28"/>
                <w:szCs w:val="28"/>
              </w:rPr>
              <w:t>各县（区）政府</w:t>
            </w:r>
          </w:p>
        </w:tc>
        <w:tc>
          <w:tcPr>
            <w:tcW w:w="1433" w:type="dxa"/>
            <w:vAlign w:val="center"/>
          </w:tcPr>
          <w:p>
            <w:pPr>
              <w:spacing w:line="360" w:lineRule="exact"/>
              <w:jc w:val="center"/>
              <w:rPr>
                <w:rFonts w:cs="Times New Roman"/>
                <w:sz w:val="28"/>
                <w:szCs w:val="28"/>
              </w:rPr>
            </w:pPr>
            <w:r>
              <w:rPr>
                <w:rFonts w:cs="Times New Roman"/>
                <w:sz w:val="28"/>
                <w:szCs w:val="28"/>
              </w:rPr>
              <w:t>2</w:t>
            </w:r>
            <w:r>
              <w:rPr>
                <w:rFonts w:cs="Times New Roman"/>
                <w:spacing w:val="-10"/>
                <w:sz w:val="28"/>
                <w:szCs w:val="28"/>
              </w:rPr>
              <w:t>016年10</w:t>
            </w:r>
            <w:r>
              <w:rPr>
                <w:rFonts w:cs="Times New Roman"/>
                <w:spacing w:val="-4"/>
                <w:sz w:val="28"/>
                <w:szCs w:val="28"/>
              </w:rPr>
              <w:t>月</w:t>
            </w:r>
            <w:r>
              <w:rPr>
                <w:rFonts w:cs="Times New Roman"/>
                <w:sz w:val="28"/>
                <w:szCs w:val="28"/>
              </w:rPr>
              <w:t>底前出台具体措施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仿宋">
    <w:altName w:val="方正仿宋_GBK"/>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B2F7A"/>
    <w:rsid w:val="421B2F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样式3"/>
    <w:basedOn w:val="1"/>
    <w:qFormat/>
    <w:uiPriority w:val="0"/>
    <w:pPr>
      <w:spacing w:line="700" w:lineRule="exact"/>
    </w:pPr>
    <w:rPr>
      <w:rFonts w:ascii="方正小标宋_GBK" w:hAnsi="黑体" w:eastAsia="方正小标宋_GBK"/>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2016-08-26T09:19:00Z</dcterms:created>
  <dc:creator>Administrator</dc:creator>
  <cp:lastModifiedBy>Administrator</cp:lastModifiedBy>
  <dcterms:modified xsi:type="dcterms:W3CDTF">2016-08-26T09:20:07Z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