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eastAsia="方正小标宋_GBK"/>
          <w:sz w:val="40"/>
          <w:szCs w:val="44"/>
        </w:rPr>
      </w:pPr>
      <w:r>
        <w:rPr>
          <w:rFonts w:hint="eastAsia" w:eastAsia="方正小标宋_GBK"/>
          <w:sz w:val="40"/>
          <w:szCs w:val="44"/>
        </w:rPr>
        <w:t>信阳市农村环境综合整治工作实施方案</w:t>
      </w:r>
    </w:p>
    <w:p>
      <w:pPr>
        <w:snapToGrid w:val="0"/>
        <w:spacing w:line="600" w:lineRule="exact"/>
        <w:jc w:val="center"/>
        <w:rPr>
          <w:rFonts w:eastAsia="方正小标宋_GBK"/>
          <w:sz w:val="40"/>
          <w:szCs w:val="44"/>
        </w:rPr>
      </w:pPr>
      <w:r>
        <w:rPr>
          <w:rFonts w:hint="eastAsia" w:eastAsia="方正小标宋_GBK"/>
          <w:sz w:val="40"/>
          <w:szCs w:val="44"/>
        </w:rPr>
        <w:t>（</w:t>
      </w:r>
      <w:r>
        <w:rPr>
          <w:rFonts w:eastAsia="方正小标宋_GBK"/>
          <w:sz w:val="40"/>
          <w:szCs w:val="44"/>
        </w:rPr>
        <w:t>2017</w:t>
      </w:r>
      <w:r>
        <w:rPr>
          <w:rFonts w:hint="eastAsia" w:eastAsia="方正小标宋_GBK"/>
          <w:sz w:val="40"/>
          <w:szCs w:val="44"/>
        </w:rPr>
        <w:t>—</w:t>
      </w:r>
      <w:r>
        <w:rPr>
          <w:rFonts w:eastAsia="方正小标宋_GBK"/>
          <w:sz w:val="40"/>
          <w:szCs w:val="44"/>
        </w:rPr>
        <w:t>2019</w:t>
      </w:r>
      <w:r>
        <w:rPr>
          <w:rFonts w:hint="eastAsia" w:eastAsia="方正小标宋_GBK"/>
          <w:sz w:val="40"/>
          <w:szCs w:val="44"/>
        </w:rPr>
        <w:t>年）</w:t>
      </w:r>
    </w:p>
    <w:p>
      <w:pPr>
        <w:snapToGrid w:val="0"/>
        <w:spacing w:line="600" w:lineRule="exact"/>
        <w:jc w:val="center"/>
        <w:rPr>
          <w:rFonts w:eastAsia="方正小标宋简体"/>
          <w:w w:val="95"/>
          <w:sz w:val="44"/>
          <w:szCs w:val="44"/>
        </w:rPr>
      </w:pPr>
    </w:p>
    <w:p>
      <w:pPr>
        <w:widowControl/>
        <w:spacing w:line="580" w:lineRule="exact"/>
      </w:pPr>
      <w:r>
        <w:t xml:space="preserve">    </w:t>
      </w:r>
      <w:r>
        <w:rPr>
          <w:rFonts w:hint="eastAsia"/>
        </w:rPr>
        <w:t>为贯彻落实《国务院关于印发水污染防治行动计划的通知》（国发〔</w:t>
      </w:r>
      <w:r>
        <w:t>2015</w:t>
      </w:r>
      <w:r>
        <w:rPr>
          <w:rFonts w:hint="eastAsia"/>
        </w:rPr>
        <w:t>〕</w:t>
      </w:r>
      <w:r>
        <w:t>17</w:t>
      </w:r>
      <w:r>
        <w:rPr>
          <w:rFonts w:hint="eastAsia"/>
        </w:rPr>
        <w:t>号）、《河南省人民政府办公厅关于印发河南省水污染防治攻坚战</w:t>
      </w:r>
      <w:r>
        <w:t>9</w:t>
      </w:r>
      <w:r>
        <w:rPr>
          <w:rFonts w:hint="eastAsia"/>
        </w:rPr>
        <w:t>个实施方案的通知》（豫政办〔</w:t>
      </w:r>
      <w:r>
        <w:t>2017</w:t>
      </w:r>
      <w:r>
        <w:rPr>
          <w:rFonts w:hint="eastAsia"/>
        </w:rPr>
        <w:t>〕</w:t>
      </w:r>
      <w:r>
        <w:t>5</w:t>
      </w:r>
      <w:r>
        <w:rPr>
          <w:rFonts w:hint="eastAsia"/>
        </w:rPr>
        <w:t>号），结合《中共河南省委河南省人民政府关于加快推进生态文明建设打造美丽河南的实施意见》（豫发〔</w:t>
      </w:r>
      <w:r>
        <w:t>2016</w:t>
      </w:r>
      <w:r>
        <w:rPr>
          <w:rFonts w:hint="eastAsia"/>
        </w:rPr>
        <w:t>〕</w:t>
      </w:r>
      <w:r>
        <w:t>7</w:t>
      </w:r>
      <w:r>
        <w:rPr>
          <w:rFonts w:hint="eastAsia"/>
        </w:rPr>
        <w:t>号）和《中共信阳市委农村工作领导小组关于印发信阳市改善农村人居环境建设美丽乡村五年行动计划（</w:t>
      </w:r>
      <w:r>
        <w:t>2016-2020</w:t>
      </w:r>
      <w:r>
        <w:rPr>
          <w:rFonts w:hint="eastAsia"/>
        </w:rPr>
        <w:t>年）的通知》（信农领文〔</w:t>
      </w:r>
      <w:r>
        <w:t>2016</w:t>
      </w:r>
      <w:r>
        <w:rPr>
          <w:rFonts w:hint="eastAsia"/>
        </w:rPr>
        <w:t>〕</w:t>
      </w:r>
      <w:r>
        <w:t xml:space="preserve">4 </w:t>
      </w:r>
      <w:r>
        <w:rPr>
          <w:rFonts w:hint="eastAsia"/>
        </w:rPr>
        <w:t>号）精神，特制定本方案。</w:t>
      </w:r>
    </w:p>
    <w:p>
      <w:pPr>
        <w:spacing w:line="580" w:lineRule="exact"/>
        <w:ind w:firstLine="640" w:firstLineChars="200"/>
        <w:rPr>
          <w:rFonts w:eastAsia="黑体"/>
        </w:rPr>
      </w:pPr>
      <w:r>
        <w:rPr>
          <w:rFonts w:hint="eastAsia" w:eastAsia="黑体"/>
        </w:rPr>
        <w:t>一、工作目标</w:t>
      </w:r>
    </w:p>
    <w:p>
      <w:pPr>
        <w:widowControl/>
        <w:spacing w:line="580" w:lineRule="exact"/>
        <w:ind w:firstLine="640" w:firstLineChars="200"/>
      </w:pPr>
      <w:r>
        <w:rPr>
          <w:rFonts w:hint="eastAsia"/>
        </w:rPr>
        <w:t>全面贯彻党的“十八大”和十八届三中、四中、五中、六中全会以及中央、省委农村工作会议精神，以科学发展观为指导，以改善农村地区水环境质量为核心，以垃圾清理、河道整治为重点，强化问题导向，加强源头控制，统筹谋划，突出重点，分阶段科学推进农村历史遗留环境问题集中整治，全面改善农村地区水生态环境。到</w:t>
      </w:r>
      <w:r>
        <w:t>2019</w:t>
      </w:r>
      <w:r>
        <w:rPr>
          <w:rFonts w:hint="eastAsia"/>
        </w:rPr>
        <w:t>年年底，完成</w:t>
      </w:r>
      <w:r>
        <w:t>245</w:t>
      </w:r>
      <w:r>
        <w:rPr>
          <w:rFonts w:hint="eastAsia"/>
        </w:rPr>
        <w:t>个村庄的农村环境综合整治任务，确保我市水环境质量目标任务如期完成。</w:t>
      </w:r>
    </w:p>
    <w:p>
      <w:pPr>
        <w:spacing w:line="580" w:lineRule="exact"/>
        <w:ind w:firstLine="640" w:firstLineChars="200"/>
        <w:rPr>
          <w:rFonts w:eastAsia="黑体"/>
        </w:rPr>
      </w:pPr>
      <w:r>
        <w:rPr>
          <w:rFonts w:hint="eastAsia" w:eastAsia="黑体"/>
        </w:rPr>
        <w:t>二、基本原则</w:t>
      </w:r>
    </w:p>
    <w:p>
      <w:pPr>
        <w:spacing w:line="580" w:lineRule="exact"/>
        <w:ind w:firstLine="643" w:firstLineChars="200"/>
      </w:pPr>
      <w:r>
        <w:rPr>
          <w:rFonts w:hint="eastAsia" w:ascii="方正楷体_GBK" w:eastAsia="方正楷体_GBK"/>
          <w:b/>
          <w:bCs/>
        </w:rPr>
        <w:t>（一）科学规划，系统治理。</w:t>
      </w:r>
      <w:r>
        <w:rPr>
          <w:rFonts w:hint="eastAsia"/>
        </w:rPr>
        <w:t>结合当地实际，科学编制实施方案，确定整治内容、整治重点、工作目标和工作要求，做到方案科学、措施全面、目标可达；整治工作要与改善农村人居环境行动相结合，系统开展，确保实效。</w:t>
      </w:r>
    </w:p>
    <w:p>
      <w:pPr>
        <w:spacing w:line="580" w:lineRule="exact"/>
        <w:ind w:firstLine="643" w:firstLineChars="200"/>
      </w:pPr>
      <w:r>
        <w:rPr>
          <w:rFonts w:hint="eastAsia" w:ascii="方正楷体_GBK" w:eastAsia="方正楷体_GBK"/>
          <w:b/>
          <w:bCs/>
        </w:rPr>
        <w:t>（二）突出重点，兼顾全局。</w:t>
      </w:r>
      <w:r>
        <w:rPr>
          <w:rFonts w:hint="eastAsia"/>
        </w:rPr>
        <w:t>以垃圾清理、河道整治为重点，兼顾农业面源污染、畜禽养殖污染、农村生活污染等其他环境问题，结合本地自然条件和经济水平，因地制宜确定整治措施，优先整治饮用水源地周边村庄的垃圾坑、垃圾堆和垃圾河以及污染严重的问题村，先急后缓，有序推进。</w:t>
      </w:r>
    </w:p>
    <w:p>
      <w:pPr>
        <w:spacing w:line="580" w:lineRule="exact"/>
        <w:ind w:firstLine="643" w:firstLineChars="200"/>
      </w:pPr>
      <w:r>
        <w:rPr>
          <w:rFonts w:hint="eastAsia" w:ascii="方正楷体_GBK" w:eastAsia="方正楷体_GBK"/>
          <w:b/>
          <w:bCs/>
        </w:rPr>
        <w:t>（三）标本兼治，注重长效。</w:t>
      </w:r>
      <w:r>
        <w:rPr>
          <w:rFonts w:hint="eastAsia"/>
        </w:rPr>
        <w:t>以县区为单位，围绕改善水环境质量，有针对性地开展垃圾清理、清淤疏浚、活水循环、生态修复等工作；健全农村环境卫生产销维护机制，完善权责明晰的组织领导体系和考核机制；加强源头管控，完善配套政策，确保整治工作得到长效管控。</w:t>
      </w:r>
    </w:p>
    <w:p>
      <w:pPr>
        <w:spacing w:line="580" w:lineRule="exact"/>
        <w:ind w:firstLine="643" w:firstLineChars="200"/>
      </w:pPr>
      <w:r>
        <w:rPr>
          <w:rFonts w:hint="eastAsia" w:ascii="方正楷体_GBK" w:eastAsia="方正楷体_GBK"/>
          <w:b/>
          <w:bCs/>
        </w:rPr>
        <w:t>（四）协作联动，社会参与。</w:t>
      </w:r>
      <w:r>
        <w:rPr>
          <w:rFonts w:hint="eastAsia"/>
        </w:rPr>
        <w:t>以政府为主导，住建、水利、农业、环保、城管等部门按照职责分工，各负其责，形成合力；适当引入社会资本参与农村环境基础设施建设和运维，完善投融资机制；加强信息公开，引导公众参与，形成共同推进农村环境保护的良好氛围。</w:t>
      </w:r>
    </w:p>
    <w:p>
      <w:pPr>
        <w:spacing w:line="580" w:lineRule="exact"/>
        <w:ind w:firstLine="640" w:firstLineChars="200"/>
        <w:rPr>
          <w:rFonts w:eastAsia="黑体"/>
        </w:rPr>
      </w:pPr>
      <w:r>
        <w:rPr>
          <w:rFonts w:hint="eastAsia" w:eastAsia="黑体"/>
        </w:rPr>
        <w:t>三、工作任务</w:t>
      </w:r>
    </w:p>
    <w:p>
      <w:pPr>
        <w:spacing w:line="580" w:lineRule="exact"/>
        <w:ind w:firstLine="643" w:firstLineChars="200"/>
      </w:pPr>
      <w:r>
        <w:rPr>
          <w:rFonts w:hint="eastAsia" w:ascii="方正楷体_GBK" w:eastAsia="方正楷体_GBK"/>
          <w:b/>
          <w:bCs/>
        </w:rPr>
        <w:t>（一）明确整治目标。</w:t>
      </w:r>
      <w:r>
        <w:rPr>
          <w:rFonts w:hint="eastAsia"/>
        </w:rPr>
        <w:t>以县区为单位，以垃圾清理、河道整治为重点，结合当地农村环境质量现状，围绕水环境质量改善工作任务，组织排查、摸清底数，制定专项整治方案，明确整治目标、重点任务、整治措施和实施周期。各县区要在</w:t>
      </w:r>
      <w:r>
        <w:t>2017</w:t>
      </w:r>
      <w:r>
        <w:rPr>
          <w:rFonts w:hint="eastAsia"/>
        </w:rPr>
        <w:t>年</w:t>
      </w:r>
      <w:r>
        <w:t>6</w:t>
      </w:r>
      <w:r>
        <w:rPr>
          <w:rFonts w:hint="eastAsia"/>
        </w:rPr>
        <w:t>月底前完成整治方案编制工作，制定分年度整治计划，待各县区政府批准实施后，报市环境污染防治攻坚战领导小组办公室备案。</w:t>
      </w:r>
    </w:p>
    <w:p>
      <w:pPr>
        <w:spacing w:line="580" w:lineRule="exact"/>
        <w:ind w:firstLine="643" w:firstLineChars="200"/>
        <w:rPr>
          <w:rFonts w:eastAsia="仿宋_GB2312"/>
        </w:rPr>
      </w:pPr>
      <w:r>
        <w:rPr>
          <w:rFonts w:hint="eastAsia" w:ascii="方正楷体_GBK" w:eastAsia="方正楷体_GBK"/>
          <w:b/>
          <w:bCs/>
        </w:rPr>
        <w:t>（二）科学实施整治。</w:t>
      </w:r>
      <w:r>
        <w:rPr>
          <w:rFonts w:hint="eastAsia"/>
        </w:rPr>
        <w:t>各县区要结合实际情况，综合施策，科学整治。排查区域垃圾堆、垃圾坑、垃圾河数量位置，实施历史遗留垃圾清理工程；开展农村生活垃圾治理专项行动，妥善处理生活垃圾，避免二次污染。开展被污染河、湖、塘堰的生态修复，因地制宜选择生态修复技术，恢复湿地生态功能。加强农业面源污染防治，实施农作物化肥农药使用量零增长行动。推动规模化畜禽养殖场标准化建设，实现雨污分流、粪便污水资源化利用。科学选择农村生活污水处理模式，鼓励规模较大、人口集中的村庄因地制宜建设集中污水处理设施，居住分散的村庄建设小型人工湿地、氧化塘等分散式的无（微）动力污水处理设施。</w:t>
      </w:r>
    </w:p>
    <w:p>
      <w:pPr>
        <w:spacing w:line="580" w:lineRule="exact"/>
        <w:ind w:firstLine="643" w:firstLineChars="200"/>
      </w:pPr>
      <w:r>
        <w:rPr>
          <w:rFonts w:hint="eastAsia" w:ascii="方正楷体_GBK" w:eastAsia="方正楷体_GBK"/>
          <w:b/>
          <w:bCs/>
        </w:rPr>
        <w:t>（三）加强统筹协调。</w:t>
      </w:r>
      <w:r>
        <w:rPr>
          <w:rFonts w:hint="eastAsia"/>
        </w:rPr>
        <w:t>各县区要结合实际，按照</w:t>
      </w:r>
      <w:r>
        <w:t>“</w:t>
      </w:r>
      <w:r>
        <w:rPr>
          <w:rFonts w:hint="eastAsia"/>
        </w:rPr>
        <w:t>打造一个平台、项目集中安排、资金集中使用、效果集中体现</w:t>
      </w:r>
      <w:r>
        <w:t>”</w:t>
      </w:r>
      <w:r>
        <w:rPr>
          <w:rFonts w:hint="eastAsia"/>
        </w:rPr>
        <w:t>的思路，建立工作平台，加强统筹协作，科学组织实施。要对照整治任务，加强人员配备，落实工作经费，夯实乡镇、办事处以及村、社区责任，结合工作部门职责，明确工作分工。</w:t>
      </w:r>
    </w:p>
    <w:p>
      <w:pPr>
        <w:spacing w:line="580" w:lineRule="exact"/>
        <w:ind w:firstLine="643" w:firstLineChars="200"/>
      </w:pPr>
      <w:r>
        <w:rPr>
          <w:rFonts w:hint="eastAsia" w:ascii="方正楷体_GBK" w:eastAsia="方正楷体_GBK"/>
          <w:b/>
          <w:bCs/>
        </w:rPr>
        <w:t>（四）创新建管模式。</w:t>
      </w:r>
      <w:r>
        <w:rPr>
          <w:rFonts w:hint="eastAsia"/>
        </w:rPr>
        <w:t>各县区要按照整体性、系统性的原则，以县、区为单位，以乡镇、办事处为单位，整体推进、全面铺开，鼓励采用区域整体打包或者其他适宜本地工作实际的方式，引入有技术、有资金、有信誉、有实力的社会资本，发挥整体效益。同时，落实政府长效管护责任，探索建立长效管护机制，有序引导社会力量和第三方参与农村环境基础设施运行维护，增强社会组织参与上述工作的能力。</w:t>
      </w:r>
    </w:p>
    <w:p>
      <w:pPr>
        <w:spacing w:line="580" w:lineRule="exact"/>
        <w:ind w:firstLine="640" w:firstLineChars="200"/>
        <w:rPr>
          <w:rFonts w:eastAsia="黑体"/>
        </w:rPr>
      </w:pPr>
      <w:r>
        <w:rPr>
          <w:rFonts w:hint="eastAsia" w:eastAsia="黑体"/>
        </w:rPr>
        <w:t>四、保障措施</w:t>
      </w:r>
    </w:p>
    <w:p>
      <w:pPr>
        <w:spacing w:line="580" w:lineRule="exact"/>
        <w:ind w:firstLine="643" w:firstLineChars="200"/>
      </w:pPr>
      <w:r>
        <w:rPr>
          <w:rFonts w:hint="eastAsia" w:ascii="方正楷体_GBK" w:eastAsia="方正楷体_GBK"/>
          <w:b/>
          <w:bCs/>
        </w:rPr>
        <w:t>（一）加强组织领导。</w:t>
      </w:r>
      <w:r>
        <w:rPr>
          <w:rFonts w:hint="eastAsia"/>
        </w:rPr>
        <w:t>各县区要统一指挥调度，搞好统筹协调、督导检查和年终考评。市政府各有关部门要按照职责分工，落实</w:t>
      </w:r>
      <w:r>
        <w:t>“</w:t>
      </w:r>
      <w:r>
        <w:rPr>
          <w:rFonts w:hint="eastAsia"/>
        </w:rPr>
        <w:t>管行业必须管环保，管业务必须管环保、管生产经营必须管环保</w:t>
      </w:r>
      <w:r>
        <w:t>”</w:t>
      </w:r>
      <w:r>
        <w:rPr>
          <w:rFonts w:hint="eastAsia"/>
        </w:rPr>
        <w:t>和</w:t>
      </w:r>
      <w:r>
        <w:t>“</w:t>
      </w:r>
      <w:r>
        <w:rPr>
          <w:rFonts w:hint="eastAsia"/>
        </w:rPr>
        <w:t>管城市必须管农村</w:t>
      </w:r>
      <w:r>
        <w:t>”</w:t>
      </w:r>
      <w:r>
        <w:rPr>
          <w:rFonts w:hint="eastAsia"/>
        </w:rPr>
        <w:t>的工作要求，积极推动各项工作落实。</w:t>
      </w:r>
    </w:p>
    <w:p>
      <w:pPr>
        <w:spacing w:line="580" w:lineRule="exact"/>
        <w:ind w:firstLine="643" w:firstLineChars="200"/>
      </w:pPr>
      <w:r>
        <w:rPr>
          <w:rFonts w:hint="eastAsia" w:ascii="方正楷体_GBK" w:eastAsia="方正楷体_GBK"/>
          <w:b/>
          <w:bCs/>
        </w:rPr>
        <w:t>（二）加强部门联动。</w:t>
      </w:r>
      <w:r>
        <w:rPr>
          <w:rFonts w:hint="eastAsia"/>
        </w:rPr>
        <w:t>市环境污染防治攻坚战领导小组各成员单位要按照职责分工，各司其职，协调配合。要结合《信阳市改善农村人居环境建设美丽乡村五年行动计划（</w:t>
      </w:r>
      <w:r>
        <w:t>2016-2020</w:t>
      </w:r>
      <w:r>
        <w:rPr>
          <w:rFonts w:hint="eastAsia"/>
        </w:rPr>
        <w:t>年）》文件精神，认真落实农村环境综合整治工作，市住建局负责指导开展历史遗留垃圾清理工程、农村生活垃圾治理专项行动和农村生活污水治理；市水利局负责指导开展河道、河岸整治和清污疏浚工作；市农业局负责指导开展农业面源污染防治；市畜牧局负责指导开展畜禽养殖污染防治工作；市国土局负责指导开展非煤矿山的生态环境修复工作；市环境保护局负责对农村环境综合整治项目统筹协调与监督。</w:t>
      </w:r>
    </w:p>
    <w:p>
      <w:pPr>
        <w:spacing w:line="580" w:lineRule="exact"/>
        <w:ind w:firstLine="643" w:firstLineChars="200"/>
      </w:pPr>
      <w:r>
        <w:rPr>
          <w:rFonts w:hint="eastAsia" w:ascii="方正楷体_GBK" w:eastAsia="方正楷体_GBK"/>
          <w:b/>
          <w:bCs/>
        </w:rPr>
        <w:t>（三）明确各级责任。</w:t>
      </w:r>
      <w:r>
        <w:rPr>
          <w:rFonts w:hint="eastAsia"/>
        </w:rPr>
        <w:t>各县区对当地农村环境保护工作负总责，负责组织开展农村环境保护相关工作，确保已建农村环境基础设施正常运行，并将农村环境基础设施建设运行纳入公共财政预算，实行以公共财政投入为主的经费保障机制。乡镇、办事处具体负责农村环境基础设施的建设实施和日常运营维护，建立实施环卫管理制度。行政村（社区）负责制定实施环卫保洁的村规民约，管理环卫设施，做好对村民的宣传引导工作。</w:t>
      </w:r>
    </w:p>
    <w:p>
      <w:pPr>
        <w:widowControl/>
        <w:spacing w:line="580" w:lineRule="exact"/>
        <w:ind w:firstLine="643" w:firstLineChars="200"/>
      </w:pPr>
      <w:r>
        <w:rPr>
          <w:rFonts w:hint="eastAsia" w:ascii="方正楷体_GBK" w:eastAsia="方正楷体_GBK"/>
          <w:b/>
          <w:bCs/>
        </w:rPr>
        <w:t>（四）深化宣传教育。</w:t>
      </w:r>
      <w:r>
        <w:rPr>
          <w:rFonts w:hint="eastAsia"/>
        </w:rPr>
        <w:t>各级各部门要充分利用广播、电视、报纸、网络等多种形式，集中宣传改善农村人居环境的意义和常识，及时宣传农村环境治理改善的成功案例和经验教训。通过组织开展观摩培训，引导广大农民群众增强环境意识和责任意识，进一步养成健康、卫生、文明的良好习惯，形成</w:t>
      </w:r>
      <w:r>
        <w:t>“</w:t>
      </w:r>
      <w:r>
        <w:rPr>
          <w:rFonts w:hint="eastAsia"/>
        </w:rPr>
        <w:t>政府主导、农民参与、社会支持</w:t>
      </w:r>
      <w:r>
        <w:t>”</w:t>
      </w:r>
      <w:r>
        <w:rPr>
          <w:rFonts w:hint="eastAsia"/>
        </w:rPr>
        <w:t>的良好氛围。</w:t>
      </w:r>
    </w:p>
    <w:p>
      <w:pPr>
        <w:widowControl/>
        <w:spacing w:line="580" w:lineRule="exact"/>
        <w:ind w:firstLine="640" w:firstLineChars="200"/>
        <w:rPr>
          <w:color w:val="000000"/>
          <w:kern w:val="0"/>
        </w:rPr>
      </w:pPr>
      <w:r>
        <w:rPr>
          <w:rFonts w:hint="eastAsia"/>
          <w:color w:val="000000"/>
          <w:kern w:val="0"/>
        </w:rPr>
        <w:t>邮箱：</w:t>
      </w:r>
      <w:r>
        <w:rPr>
          <w:kern w:val="0"/>
        </w:rPr>
        <w:t>hnhbstxy@126.com</w:t>
      </w:r>
    </w:p>
    <w:p>
      <w:pPr>
        <w:widowControl/>
        <w:spacing w:line="357" w:lineRule="atLeast"/>
        <w:ind w:firstLine="640" w:firstLineChars="200"/>
        <w:jc w:val="left"/>
        <w:rPr>
          <w:color w:val="000000"/>
          <w:kern w:val="0"/>
        </w:rPr>
      </w:pPr>
      <w:r>
        <w:rPr>
          <w:rFonts w:hint="eastAsia"/>
          <w:color w:val="000000"/>
          <w:kern w:val="0"/>
        </w:rPr>
        <w:t>电话：</w:t>
      </w:r>
      <w:r>
        <w:rPr>
          <w:color w:val="000000"/>
          <w:kern w:val="0"/>
        </w:rPr>
        <w:t>0376-6530010</w:t>
      </w:r>
    </w:p>
    <w:p>
      <w:pPr>
        <w:widowControl/>
        <w:spacing w:line="357" w:lineRule="atLeast"/>
        <w:ind w:firstLine="640" w:firstLineChars="200"/>
        <w:jc w:val="left"/>
        <w:rPr>
          <w:rFonts w:eastAsia="仿宋_GB2312"/>
          <w:color w:val="000000"/>
          <w:kern w:val="0"/>
        </w:rPr>
      </w:pPr>
      <w:r>
        <w:rPr>
          <w:rFonts w:hint="eastAsia"/>
          <w:color w:val="000000"/>
          <w:kern w:val="0"/>
        </w:rPr>
        <w:t>联系人：方阳阳</w:t>
      </w:r>
      <w:r>
        <w:rPr>
          <w:color w:val="000000"/>
          <w:kern w:val="0"/>
        </w:rPr>
        <w:t xml:space="preserve"> </w:t>
      </w:r>
    </w:p>
    <w:p>
      <w:pPr>
        <w:spacing w:line="580" w:lineRule="exact"/>
        <w:ind w:firstLine="640" w:firstLineChars="200"/>
        <w:rPr>
          <w:rFonts w:hint="eastAsia" w:eastAsia="仿宋_GB2312"/>
        </w:rPr>
      </w:pPr>
    </w:p>
    <w:p>
      <w:pPr>
        <w:spacing w:line="580" w:lineRule="exact"/>
        <w:ind w:firstLine="640" w:firstLineChars="200"/>
        <w:rPr>
          <w:rFonts w:hint="eastAsia"/>
        </w:rPr>
      </w:pPr>
      <w:r>
        <w:rPr>
          <w:rFonts w:hint="eastAsia"/>
        </w:rPr>
        <w:t>附件：</w:t>
      </w:r>
      <w:r>
        <w:rPr>
          <w:rFonts w:hint="eastAsia"/>
          <w:bCs/>
          <w:szCs w:val="36"/>
        </w:rPr>
        <w:t>各县区农村环境综合整治目标任务</w:t>
      </w:r>
    </w:p>
    <w:p>
      <w:pPr>
        <w:spacing w:line="580" w:lineRule="exact"/>
        <w:rPr>
          <w:rFonts w:hint="eastAsia" w:ascii="黑体" w:hAnsi="黑体" w:eastAsia="黑体"/>
          <w:bCs/>
        </w:rPr>
      </w:pPr>
      <w:r>
        <w:rPr>
          <w:rFonts w:eastAsia="方正小标宋_GBK"/>
          <w:bCs/>
          <w:sz w:val="36"/>
          <w:szCs w:val="36"/>
        </w:rPr>
        <w:br w:type="page"/>
      </w:r>
      <w:r>
        <w:rPr>
          <w:rFonts w:hint="eastAsia" w:ascii="黑体" w:hAnsi="黑体" w:eastAsia="黑体"/>
          <w:bCs/>
        </w:rPr>
        <w:t>附 件</w:t>
      </w:r>
    </w:p>
    <w:p>
      <w:pPr>
        <w:spacing w:line="580" w:lineRule="exact"/>
        <w:jc w:val="center"/>
        <w:rPr>
          <w:rFonts w:eastAsia="方正小标宋_GBK"/>
          <w:bCs/>
          <w:sz w:val="36"/>
          <w:szCs w:val="36"/>
        </w:rPr>
      </w:pPr>
      <w:r>
        <w:rPr>
          <w:rFonts w:hint="eastAsia" w:eastAsia="方正小标宋_GBK"/>
          <w:bCs/>
          <w:sz w:val="36"/>
          <w:szCs w:val="36"/>
        </w:rPr>
        <w:t>各县区农村环境综合整治目标任务</w:t>
      </w:r>
    </w:p>
    <w:p>
      <w:pPr>
        <w:spacing w:line="580" w:lineRule="exact"/>
        <w:jc w:val="center"/>
        <w:rPr>
          <w:rFonts w:eastAsia="方正小标宋_GBK"/>
          <w:bCs/>
          <w:sz w:val="36"/>
          <w:szCs w:val="36"/>
        </w:rPr>
      </w:pPr>
    </w:p>
    <w:tbl>
      <w:tblPr>
        <w:tblStyle w:val="3"/>
        <w:tblW w:w="9072" w:type="dxa"/>
        <w:jc w:val="center"/>
        <w:tblInd w:w="-60" w:type="dxa"/>
        <w:tblLayout w:type="fixed"/>
        <w:tblCellMar>
          <w:top w:w="0" w:type="dxa"/>
          <w:left w:w="0" w:type="dxa"/>
          <w:bottom w:w="0" w:type="dxa"/>
          <w:right w:w="0" w:type="dxa"/>
        </w:tblCellMar>
      </w:tblPr>
      <w:tblGrid>
        <w:gridCol w:w="816"/>
        <w:gridCol w:w="1224"/>
        <w:gridCol w:w="1949"/>
        <w:gridCol w:w="1866"/>
        <w:gridCol w:w="1937"/>
        <w:gridCol w:w="1280"/>
      </w:tblGrid>
      <w:tr>
        <w:tblPrEx>
          <w:tblLayout w:type="fixed"/>
          <w:tblCellMar>
            <w:top w:w="0" w:type="dxa"/>
            <w:left w:w="0" w:type="dxa"/>
            <w:bottom w:w="0" w:type="dxa"/>
            <w:right w:w="0" w:type="dxa"/>
          </w:tblCellMar>
        </w:tblPrEx>
        <w:trPr>
          <w:trHeight w:val="624" w:hRule="atLeast"/>
          <w:jc w:val="center"/>
        </w:trPr>
        <w:tc>
          <w:tcPr>
            <w:tcW w:w="816" w:type="dxa"/>
            <w:tcBorders>
              <w:top w:val="single" w:color="auto" w:sz="8" w:space="0"/>
              <w:left w:val="single" w:color="auto" w:sz="8" w:space="0"/>
              <w:bottom w:val="single" w:color="auto" w:sz="8" w:space="0"/>
              <w:right w:val="single" w:color="auto" w:sz="8" w:space="0"/>
            </w:tcBorders>
            <w:vAlign w:val="center"/>
          </w:tcPr>
          <w:p>
            <w:pPr>
              <w:widowControl/>
              <w:spacing w:line="302" w:lineRule="atLeast"/>
              <w:jc w:val="center"/>
              <w:rPr>
                <w:rFonts w:eastAsia="黑体"/>
                <w:kern w:val="0"/>
                <w:sz w:val="24"/>
                <w:szCs w:val="19"/>
              </w:rPr>
            </w:pPr>
            <w:r>
              <w:rPr>
                <w:rFonts w:hint="eastAsia" w:eastAsia="黑体"/>
                <w:kern w:val="0"/>
                <w:sz w:val="24"/>
                <w:szCs w:val="19"/>
              </w:rPr>
              <w:t>序号</w:t>
            </w:r>
          </w:p>
        </w:tc>
        <w:tc>
          <w:tcPr>
            <w:tcW w:w="1224" w:type="dxa"/>
            <w:tcBorders>
              <w:top w:val="single" w:color="auto" w:sz="8" w:space="0"/>
              <w:left w:val="nil"/>
              <w:bottom w:val="single" w:color="auto" w:sz="8" w:space="0"/>
              <w:right w:val="single" w:color="auto" w:sz="8" w:space="0"/>
            </w:tcBorders>
            <w:vAlign w:val="center"/>
          </w:tcPr>
          <w:p>
            <w:pPr>
              <w:widowControl/>
              <w:spacing w:line="302" w:lineRule="atLeast"/>
              <w:jc w:val="center"/>
              <w:rPr>
                <w:rFonts w:eastAsia="黑体"/>
                <w:kern w:val="0"/>
                <w:sz w:val="24"/>
                <w:szCs w:val="19"/>
              </w:rPr>
            </w:pPr>
            <w:r>
              <w:rPr>
                <w:rFonts w:hint="eastAsia" w:eastAsia="黑体"/>
                <w:kern w:val="0"/>
                <w:sz w:val="24"/>
                <w:szCs w:val="19"/>
              </w:rPr>
              <w:t>县区</w:t>
            </w:r>
          </w:p>
        </w:tc>
        <w:tc>
          <w:tcPr>
            <w:tcW w:w="1949" w:type="dxa"/>
            <w:tcBorders>
              <w:top w:val="single" w:color="auto" w:sz="8" w:space="0"/>
              <w:left w:val="nil"/>
              <w:bottom w:val="single" w:color="auto" w:sz="8" w:space="0"/>
              <w:right w:val="single" w:color="auto" w:sz="8" w:space="0"/>
            </w:tcBorders>
            <w:vAlign w:val="center"/>
          </w:tcPr>
          <w:p>
            <w:pPr>
              <w:widowControl/>
              <w:spacing w:line="302" w:lineRule="atLeast"/>
              <w:jc w:val="center"/>
              <w:rPr>
                <w:rFonts w:eastAsia="黑体"/>
                <w:kern w:val="0"/>
                <w:sz w:val="24"/>
                <w:szCs w:val="19"/>
              </w:rPr>
            </w:pPr>
            <w:r>
              <w:rPr>
                <w:rFonts w:eastAsia="黑体"/>
                <w:kern w:val="0"/>
                <w:sz w:val="24"/>
                <w:szCs w:val="19"/>
              </w:rPr>
              <w:t>2017</w:t>
            </w:r>
            <w:r>
              <w:rPr>
                <w:rFonts w:hint="eastAsia" w:eastAsia="黑体"/>
                <w:kern w:val="0"/>
                <w:sz w:val="24"/>
                <w:szCs w:val="19"/>
              </w:rPr>
              <w:t>年需整治的</w:t>
            </w:r>
            <w:r>
              <w:rPr>
                <w:rFonts w:eastAsia="黑体"/>
                <w:kern w:val="0"/>
                <w:sz w:val="24"/>
                <w:szCs w:val="19"/>
              </w:rPr>
              <w:br w:type="textWrapping"/>
            </w:r>
            <w:r>
              <w:rPr>
                <w:rFonts w:hint="eastAsia" w:eastAsia="黑体"/>
                <w:kern w:val="0"/>
                <w:sz w:val="24"/>
                <w:szCs w:val="19"/>
              </w:rPr>
              <w:t>村庄数</w:t>
            </w:r>
            <w:r>
              <w:rPr>
                <w:rFonts w:eastAsia="黑体"/>
                <w:kern w:val="0"/>
                <w:sz w:val="24"/>
                <w:szCs w:val="19"/>
              </w:rPr>
              <w:t>(</w:t>
            </w:r>
            <w:r>
              <w:rPr>
                <w:rFonts w:hint="eastAsia" w:eastAsia="黑体"/>
                <w:kern w:val="0"/>
                <w:sz w:val="24"/>
                <w:szCs w:val="19"/>
              </w:rPr>
              <w:t>个）</w:t>
            </w:r>
          </w:p>
        </w:tc>
        <w:tc>
          <w:tcPr>
            <w:tcW w:w="1866" w:type="dxa"/>
            <w:tcBorders>
              <w:top w:val="single" w:color="auto" w:sz="8" w:space="0"/>
              <w:left w:val="nil"/>
              <w:bottom w:val="single" w:color="auto" w:sz="8" w:space="0"/>
              <w:right w:val="single" w:color="auto" w:sz="8" w:space="0"/>
            </w:tcBorders>
            <w:vAlign w:val="center"/>
          </w:tcPr>
          <w:p>
            <w:pPr>
              <w:widowControl/>
              <w:spacing w:line="302" w:lineRule="atLeast"/>
              <w:jc w:val="center"/>
              <w:rPr>
                <w:rFonts w:eastAsia="黑体"/>
                <w:kern w:val="0"/>
                <w:sz w:val="24"/>
                <w:szCs w:val="19"/>
              </w:rPr>
            </w:pPr>
            <w:r>
              <w:rPr>
                <w:rFonts w:eastAsia="黑体"/>
                <w:kern w:val="0"/>
                <w:sz w:val="24"/>
                <w:szCs w:val="19"/>
              </w:rPr>
              <w:t>2018</w:t>
            </w:r>
            <w:r>
              <w:rPr>
                <w:rFonts w:hint="eastAsia" w:eastAsia="黑体"/>
                <w:kern w:val="0"/>
                <w:sz w:val="24"/>
                <w:szCs w:val="19"/>
              </w:rPr>
              <w:t>年需整治的</w:t>
            </w:r>
            <w:r>
              <w:rPr>
                <w:rFonts w:eastAsia="黑体"/>
                <w:kern w:val="0"/>
                <w:sz w:val="24"/>
                <w:szCs w:val="19"/>
              </w:rPr>
              <w:br w:type="textWrapping"/>
            </w:r>
            <w:r>
              <w:rPr>
                <w:rFonts w:hint="eastAsia" w:eastAsia="黑体"/>
                <w:kern w:val="0"/>
                <w:sz w:val="24"/>
                <w:szCs w:val="19"/>
              </w:rPr>
              <w:t>村庄数</w:t>
            </w:r>
            <w:r>
              <w:rPr>
                <w:rFonts w:eastAsia="黑体"/>
                <w:kern w:val="0"/>
                <w:sz w:val="24"/>
                <w:szCs w:val="19"/>
              </w:rPr>
              <w:t>(</w:t>
            </w:r>
            <w:r>
              <w:rPr>
                <w:rFonts w:hint="eastAsia" w:eastAsia="黑体"/>
                <w:kern w:val="0"/>
                <w:sz w:val="24"/>
                <w:szCs w:val="19"/>
              </w:rPr>
              <w:t>个）</w:t>
            </w:r>
          </w:p>
        </w:tc>
        <w:tc>
          <w:tcPr>
            <w:tcW w:w="1937" w:type="dxa"/>
            <w:tcBorders>
              <w:top w:val="single" w:color="auto" w:sz="8" w:space="0"/>
              <w:left w:val="nil"/>
              <w:bottom w:val="single" w:color="auto" w:sz="8" w:space="0"/>
              <w:right w:val="single" w:color="auto" w:sz="8" w:space="0"/>
            </w:tcBorders>
            <w:vAlign w:val="center"/>
          </w:tcPr>
          <w:p>
            <w:pPr>
              <w:widowControl/>
              <w:spacing w:line="302" w:lineRule="atLeast"/>
              <w:jc w:val="center"/>
              <w:rPr>
                <w:rFonts w:eastAsia="黑体"/>
                <w:kern w:val="0"/>
                <w:sz w:val="24"/>
                <w:szCs w:val="19"/>
              </w:rPr>
            </w:pPr>
            <w:r>
              <w:rPr>
                <w:rFonts w:eastAsia="黑体"/>
                <w:kern w:val="0"/>
                <w:sz w:val="24"/>
                <w:szCs w:val="19"/>
              </w:rPr>
              <w:t>2019</w:t>
            </w:r>
            <w:r>
              <w:rPr>
                <w:rFonts w:hint="eastAsia" w:eastAsia="黑体"/>
                <w:kern w:val="0"/>
                <w:sz w:val="24"/>
                <w:szCs w:val="19"/>
              </w:rPr>
              <w:t>年需整治的</w:t>
            </w:r>
            <w:r>
              <w:rPr>
                <w:rFonts w:eastAsia="黑体"/>
                <w:kern w:val="0"/>
                <w:sz w:val="24"/>
                <w:szCs w:val="19"/>
              </w:rPr>
              <w:br w:type="textWrapping"/>
            </w:r>
            <w:r>
              <w:rPr>
                <w:rFonts w:hint="eastAsia" w:eastAsia="黑体"/>
                <w:kern w:val="0"/>
                <w:sz w:val="24"/>
                <w:szCs w:val="19"/>
              </w:rPr>
              <w:t>村庄数</w:t>
            </w:r>
            <w:r>
              <w:rPr>
                <w:rFonts w:eastAsia="黑体"/>
                <w:kern w:val="0"/>
                <w:sz w:val="24"/>
                <w:szCs w:val="19"/>
              </w:rPr>
              <w:t>(</w:t>
            </w:r>
            <w:r>
              <w:rPr>
                <w:rFonts w:hint="eastAsia" w:eastAsia="黑体"/>
                <w:kern w:val="0"/>
                <w:sz w:val="24"/>
                <w:szCs w:val="19"/>
              </w:rPr>
              <w:t>个）</w:t>
            </w:r>
          </w:p>
        </w:tc>
        <w:tc>
          <w:tcPr>
            <w:tcW w:w="1280" w:type="dxa"/>
            <w:tcBorders>
              <w:top w:val="single" w:color="auto" w:sz="8" w:space="0"/>
              <w:left w:val="nil"/>
              <w:bottom w:val="single" w:color="auto" w:sz="8" w:space="0"/>
              <w:right w:val="single" w:color="auto" w:sz="8" w:space="0"/>
            </w:tcBorders>
            <w:vAlign w:val="center"/>
          </w:tcPr>
          <w:p>
            <w:pPr>
              <w:widowControl/>
              <w:spacing w:line="302" w:lineRule="atLeast"/>
              <w:jc w:val="center"/>
              <w:rPr>
                <w:rFonts w:eastAsia="黑体"/>
                <w:kern w:val="0"/>
                <w:sz w:val="24"/>
                <w:szCs w:val="19"/>
              </w:rPr>
            </w:pPr>
            <w:r>
              <w:rPr>
                <w:rFonts w:hint="eastAsia" w:eastAsia="黑体"/>
                <w:kern w:val="0"/>
                <w:sz w:val="24"/>
                <w:szCs w:val="19"/>
              </w:rPr>
              <w:t>合计</w:t>
            </w:r>
            <w:r>
              <w:rPr>
                <w:rFonts w:eastAsia="黑体"/>
                <w:kern w:val="0"/>
                <w:sz w:val="24"/>
                <w:szCs w:val="19"/>
              </w:rPr>
              <w:br w:type="textWrapping"/>
            </w:r>
            <w:r>
              <w:rPr>
                <w:rFonts w:eastAsia="黑体"/>
                <w:kern w:val="0"/>
                <w:sz w:val="24"/>
                <w:szCs w:val="19"/>
              </w:rPr>
              <w:t>(</w:t>
            </w:r>
            <w:r>
              <w:rPr>
                <w:rFonts w:hint="eastAsia" w:eastAsia="黑体"/>
                <w:kern w:val="0"/>
                <w:sz w:val="24"/>
                <w:szCs w:val="19"/>
              </w:rPr>
              <w:t>个）</w:t>
            </w:r>
          </w:p>
        </w:tc>
      </w:tr>
      <w:tr>
        <w:tblPrEx>
          <w:tblLayout w:type="fixed"/>
          <w:tblCellMar>
            <w:top w:w="0" w:type="dxa"/>
            <w:left w:w="0" w:type="dxa"/>
            <w:bottom w:w="0" w:type="dxa"/>
            <w:right w:w="0" w:type="dxa"/>
          </w:tblCellMar>
        </w:tblPrEx>
        <w:trPr>
          <w:trHeight w:val="624" w:hRule="atLeast"/>
          <w:jc w:val="center"/>
        </w:trPr>
        <w:tc>
          <w:tcPr>
            <w:tcW w:w="816" w:type="dxa"/>
            <w:tcBorders>
              <w:top w:val="single" w:color="auto" w:sz="8" w:space="0"/>
              <w:left w:val="single" w:color="auto" w:sz="8" w:space="0"/>
              <w:bottom w:val="single" w:color="auto" w:sz="8" w:space="0"/>
              <w:right w:val="single" w:color="auto" w:sz="8" w:space="0"/>
            </w:tcBorders>
            <w:vAlign w:val="center"/>
          </w:tcPr>
          <w:p>
            <w:pPr>
              <w:widowControl/>
              <w:spacing w:line="302" w:lineRule="atLeast"/>
              <w:jc w:val="center"/>
              <w:rPr>
                <w:rFonts w:hint="eastAsia"/>
                <w:kern w:val="0"/>
                <w:sz w:val="24"/>
                <w:szCs w:val="19"/>
              </w:rPr>
            </w:pPr>
            <w:r>
              <w:rPr>
                <w:rFonts w:hint="eastAsia"/>
                <w:kern w:val="0"/>
                <w:sz w:val="24"/>
                <w:szCs w:val="19"/>
              </w:rPr>
              <w:t>1</w:t>
            </w:r>
          </w:p>
        </w:tc>
        <w:tc>
          <w:tcPr>
            <w:tcW w:w="1224"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rFonts w:hint="eastAsia"/>
                <w:kern w:val="0"/>
                <w:sz w:val="24"/>
                <w:szCs w:val="19"/>
              </w:rPr>
              <w:t>浉河区</w:t>
            </w:r>
          </w:p>
        </w:tc>
        <w:tc>
          <w:tcPr>
            <w:tcW w:w="1949"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5</w:t>
            </w:r>
          </w:p>
        </w:tc>
        <w:tc>
          <w:tcPr>
            <w:tcW w:w="1866"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7</w:t>
            </w:r>
          </w:p>
        </w:tc>
        <w:tc>
          <w:tcPr>
            <w:tcW w:w="1937"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6</w:t>
            </w:r>
          </w:p>
        </w:tc>
        <w:tc>
          <w:tcPr>
            <w:tcW w:w="1280"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18</w:t>
            </w:r>
          </w:p>
        </w:tc>
      </w:tr>
      <w:tr>
        <w:tblPrEx>
          <w:tblLayout w:type="fixed"/>
          <w:tblCellMar>
            <w:top w:w="0" w:type="dxa"/>
            <w:left w:w="0" w:type="dxa"/>
            <w:bottom w:w="0" w:type="dxa"/>
            <w:right w:w="0" w:type="dxa"/>
          </w:tblCellMar>
        </w:tblPrEx>
        <w:trPr>
          <w:trHeight w:val="624" w:hRule="atLeast"/>
          <w:jc w:val="center"/>
        </w:trPr>
        <w:tc>
          <w:tcPr>
            <w:tcW w:w="816" w:type="dxa"/>
            <w:tcBorders>
              <w:top w:val="single" w:color="auto" w:sz="8" w:space="0"/>
              <w:left w:val="single" w:color="auto" w:sz="8" w:space="0"/>
              <w:bottom w:val="single" w:color="auto" w:sz="8" w:space="0"/>
              <w:right w:val="single" w:color="auto" w:sz="8" w:space="0"/>
            </w:tcBorders>
            <w:vAlign w:val="center"/>
          </w:tcPr>
          <w:p>
            <w:pPr>
              <w:widowControl/>
              <w:spacing w:line="302" w:lineRule="atLeast"/>
              <w:jc w:val="center"/>
              <w:rPr>
                <w:rFonts w:hint="eastAsia"/>
                <w:kern w:val="0"/>
                <w:sz w:val="24"/>
                <w:szCs w:val="19"/>
              </w:rPr>
            </w:pPr>
            <w:r>
              <w:rPr>
                <w:rFonts w:hint="eastAsia"/>
                <w:kern w:val="0"/>
                <w:sz w:val="24"/>
                <w:szCs w:val="19"/>
              </w:rPr>
              <w:t>2</w:t>
            </w:r>
          </w:p>
        </w:tc>
        <w:tc>
          <w:tcPr>
            <w:tcW w:w="1224"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rFonts w:hint="eastAsia"/>
                <w:kern w:val="0"/>
                <w:sz w:val="24"/>
                <w:szCs w:val="19"/>
              </w:rPr>
              <w:t>平桥区</w:t>
            </w:r>
          </w:p>
        </w:tc>
        <w:tc>
          <w:tcPr>
            <w:tcW w:w="1949"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6</w:t>
            </w:r>
          </w:p>
        </w:tc>
        <w:tc>
          <w:tcPr>
            <w:tcW w:w="1866" w:type="dxa"/>
            <w:tcBorders>
              <w:top w:val="single" w:color="auto" w:sz="8" w:space="0"/>
              <w:left w:val="nil"/>
              <w:bottom w:val="single" w:color="auto" w:sz="8" w:space="0"/>
              <w:right w:val="single" w:color="auto" w:sz="8" w:space="0"/>
            </w:tcBorders>
            <w:vAlign w:val="center"/>
          </w:tcPr>
          <w:p>
            <w:pPr>
              <w:widowControl/>
              <w:spacing w:line="302" w:lineRule="atLeast"/>
              <w:jc w:val="center"/>
              <w:rPr>
                <w:rFonts w:hint="eastAsia"/>
                <w:kern w:val="0"/>
                <w:sz w:val="24"/>
                <w:szCs w:val="19"/>
              </w:rPr>
            </w:pPr>
            <w:r>
              <w:rPr>
                <w:rFonts w:hint="eastAsia"/>
                <w:kern w:val="0"/>
                <w:sz w:val="24"/>
                <w:szCs w:val="19"/>
              </w:rPr>
              <w:t>11（明港镇1个）</w:t>
            </w:r>
          </w:p>
        </w:tc>
        <w:tc>
          <w:tcPr>
            <w:tcW w:w="1937" w:type="dxa"/>
            <w:tcBorders>
              <w:top w:val="single" w:color="auto" w:sz="8" w:space="0"/>
              <w:left w:val="nil"/>
              <w:bottom w:val="single" w:color="auto" w:sz="8" w:space="0"/>
              <w:right w:val="single" w:color="auto" w:sz="8" w:space="0"/>
            </w:tcBorders>
            <w:vAlign w:val="center"/>
          </w:tcPr>
          <w:p>
            <w:pPr>
              <w:widowControl/>
              <w:spacing w:line="302" w:lineRule="atLeast"/>
              <w:jc w:val="center"/>
              <w:rPr>
                <w:rFonts w:hint="eastAsia"/>
                <w:kern w:val="0"/>
                <w:sz w:val="24"/>
                <w:szCs w:val="19"/>
              </w:rPr>
            </w:pPr>
            <w:r>
              <w:rPr>
                <w:rFonts w:hint="eastAsia"/>
                <w:kern w:val="0"/>
                <w:sz w:val="24"/>
                <w:szCs w:val="19"/>
              </w:rPr>
              <w:t>10（明港镇1个）</w:t>
            </w:r>
          </w:p>
        </w:tc>
        <w:tc>
          <w:tcPr>
            <w:tcW w:w="1280" w:type="dxa"/>
            <w:tcBorders>
              <w:top w:val="single" w:color="auto" w:sz="8" w:space="0"/>
              <w:left w:val="nil"/>
              <w:bottom w:val="single" w:color="auto" w:sz="8" w:space="0"/>
              <w:right w:val="single" w:color="auto" w:sz="8" w:space="0"/>
            </w:tcBorders>
            <w:vAlign w:val="center"/>
          </w:tcPr>
          <w:p>
            <w:pPr>
              <w:widowControl/>
              <w:spacing w:line="302" w:lineRule="atLeast"/>
              <w:jc w:val="center"/>
              <w:rPr>
                <w:rFonts w:hint="eastAsia"/>
                <w:kern w:val="0"/>
                <w:sz w:val="24"/>
                <w:szCs w:val="19"/>
              </w:rPr>
            </w:pPr>
            <w:r>
              <w:rPr>
                <w:rFonts w:hint="eastAsia"/>
                <w:kern w:val="0"/>
                <w:sz w:val="24"/>
                <w:szCs w:val="19"/>
              </w:rPr>
              <w:t>27</w:t>
            </w:r>
          </w:p>
        </w:tc>
      </w:tr>
      <w:tr>
        <w:tblPrEx>
          <w:tblLayout w:type="fixed"/>
          <w:tblCellMar>
            <w:top w:w="0" w:type="dxa"/>
            <w:left w:w="0" w:type="dxa"/>
            <w:bottom w:w="0" w:type="dxa"/>
            <w:right w:w="0" w:type="dxa"/>
          </w:tblCellMar>
        </w:tblPrEx>
        <w:trPr>
          <w:trHeight w:val="624" w:hRule="atLeast"/>
          <w:jc w:val="center"/>
        </w:trPr>
        <w:tc>
          <w:tcPr>
            <w:tcW w:w="816" w:type="dxa"/>
            <w:tcBorders>
              <w:top w:val="single" w:color="auto" w:sz="8" w:space="0"/>
              <w:left w:val="single" w:color="auto" w:sz="8" w:space="0"/>
              <w:bottom w:val="single" w:color="auto" w:sz="8" w:space="0"/>
              <w:right w:val="single" w:color="auto" w:sz="8" w:space="0"/>
            </w:tcBorders>
            <w:vAlign w:val="center"/>
          </w:tcPr>
          <w:p>
            <w:pPr>
              <w:widowControl/>
              <w:spacing w:line="302" w:lineRule="atLeast"/>
              <w:jc w:val="center"/>
              <w:rPr>
                <w:rFonts w:hint="eastAsia"/>
                <w:kern w:val="0"/>
                <w:sz w:val="24"/>
                <w:szCs w:val="19"/>
              </w:rPr>
            </w:pPr>
            <w:r>
              <w:rPr>
                <w:rFonts w:hint="eastAsia"/>
                <w:kern w:val="0"/>
                <w:sz w:val="24"/>
                <w:szCs w:val="19"/>
              </w:rPr>
              <w:t>3</w:t>
            </w:r>
          </w:p>
        </w:tc>
        <w:tc>
          <w:tcPr>
            <w:tcW w:w="1224"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rFonts w:hint="eastAsia"/>
                <w:kern w:val="0"/>
                <w:sz w:val="24"/>
                <w:szCs w:val="19"/>
              </w:rPr>
              <w:t>罗山县</w:t>
            </w:r>
          </w:p>
        </w:tc>
        <w:tc>
          <w:tcPr>
            <w:tcW w:w="1949"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5</w:t>
            </w:r>
          </w:p>
        </w:tc>
        <w:tc>
          <w:tcPr>
            <w:tcW w:w="1866"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13</w:t>
            </w:r>
          </w:p>
        </w:tc>
        <w:tc>
          <w:tcPr>
            <w:tcW w:w="1937"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12</w:t>
            </w:r>
          </w:p>
        </w:tc>
        <w:tc>
          <w:tcPr>
            <w:tcW w:w="1280"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30</w:t>
            </w:r>
          </w:p>
        </w:tc>
      </w:tr>
      <w:tr>
        <w:tblPrEx>
          <w:tblLayout w:type="fixed"/>
          <w:tblCellMar>
            <w:top w:w="0" w:type="dxa"/>
            <w:left w:w="0" w:type="dxa"/>
            <w:bottom w:w="0" w:type="dxa"/>
            <w:right w:w="0" w:type="dxa"/>
          </w:tblCellMar>
        </w:tblPrEx>
        <w:trPr>
          <w:trHeight w:val="624" w:hRule="atLeast"/>
          <w:jc w:val="center"/>
        </w:trPr>
        <w:tc>
          <w:tcPr>
            <w:tcW w:w="816" w:type="dxa"/>
            <w:tcBorders>
              <w:top w:val="single" w:color="auto" w:sz="8" w:space="0"/>
              <w:left w:val="single" w:color="auto" w:sz="8" w:space="0"/>
              <w:bottom w:val="single" w:color="auto" w:sz="8" w:space="0"/>
              <w:right w:val="single" w:color="auto" w:sz="8" w:space="0"/>
            </w:tcBorders>
            <w:vAlign w:val="center"/>
          </w:tcPr>
          <w:p>
            <w:pPr>
              <w:widowControl/>
              <w:spacing w:line="302" w:lineRule="atLeast"/>
              <w:jc w:val="center"/>
              <w:rPr>
                <w:rFonts w:hint="eastAsia"/>
                <w:kern w:val="0"/>
                <w:sz w:val="24"/>
                <w:szCs w:val="19"/>
              </w:rPr>
            </w:pPr>
            <w:r>
              <w:rPr>
                <w:rFonts w:hint="eastAsia"/>
                <w:kern w:val="0"/>
                <w:sz w:val="24"/>
                <w:szCs w:val="19"/>
              </w:rPr>
              <w:t>4</w:t>
            </w:r>
          </w:p>
        </w:tc>
        <w:tc>
          <w:tcPr>
            <w:tcW w:w="1224"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rFonts w:hint="eastAsia"/>
                <w:kern w:val="0"/>
                <w:sz w:val="24"/>
                <w:szCs w:val="19"/>
              </w:rPr>
              <w:t>潢川县</w:t>
            </w:r>
          </w:p>
        </w:tc>
        <w:tc>
          <w:tcPr>
            <w:tcW w:w="1949"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6</w:t>
            </w:r>
          </w:p>
        </w:tc>
        <w:tc>
          <w:tcPr>
            <w:tcW w:w="1866"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10</w:t>
            </w:r>
          </w:p>
        </w:tc>
        <w:tc>
          <w:tcPr>
            <w:tcW w:w="1937"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10</w:t>
            </w:r>
          </w:p>
        </w:tc>
        <w:tc>
          <w:tcPr>
            <w:tcW w:w="1280"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26</w:t>
            </w:r>
          </w:p>
        </w:tc>
      </w:tr>
      <w:tr>
        <w:tblPrEx>
          <w:tblLayout w:type="fixed"/>
          <w:tblCellMar>
            <w:top w:w="0" w:type="dxa"/>
            <w:left w:w="0" w:type="dxa"/>
            <w:bottom w:w="0" w:type="dxa"/>
            <w:right w:w="0" w:type="dxa"/>
          </w:tblCellMar>
        </w:tblPrEx>
        <w:trPr>
          <w:trHeight w:val="624" w:hRule="atLeast"/>
          <w:jc w:val="center"/>
        </w:trPr>
        <w:tc>
          <w:tcPr>
            <w:tcW w:w="816" w:type="dxa"/>
            <w:tcBorders>
              <w:top w:val="single" w:color="auto" w:sz="8" w:space="0"/>
              <w:left w:val="single" w:color="auto" w:sz="8" w:space="0"/>
              <w:bottom w:val="single" w:color="auto" w:sz="8" w:space="0"/>
              <w:right w:val="single" w:color="auto" w:sz="8" w:space="0"/>
            </w:tcBorders>
            <w:vAlign w:val="center"/>
          </w:tcPr>
          <w:p>
            <w:pPr>
              <w:widowControl/>
              <w:spacing w:line="302" w:lineRule="atLeast"/>
              <w:jc w:val="center"/>
              <w:rPr>
                <w:rFonts w:hint="eastAsia"/>
                <w:kern w:val="0"/>
                <w:sz w:val="24"/>
                <w:szCs w:val="19"/>
              </w:rPr>
            </w:pPr>
            <w:r>
              <w:rPr>
                <w:rFonts w:hint="eastAsia"/>
                <w:kern w:val="0"/>
                <w:sz w:val="24"/>
                <w:szCs w:val="19"/>
              </w:rPr>
              <w:t>5</w:t>
            </w:r>
          </w:p>
        </w:tc>
        <w:tc>
          <w:tcPr>
            <w:tcW w:w="1224"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rFonts w:hint="eastAsia"/>
                <w:kern w:val="0"/>
                <w:sz w:val="24"/>
                <w:szCs w:val="19"/>
              </w:rPr>
              <w:t>息县</w:t>
            </w:r>
          </w:p>
        </w:tc>
        <w:tc>
          <w:tcPr>
            <w:tcW w:w="1949"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6</w:t>
            </w:r>
          </w:p>
        </w:tc>
        <w:tc>
          <w:tcPr>
            <w:tcW w:w="1866"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12</w:t>
            </w:r>
          </w:p>
        </w:tc>
        <w:tc>
          <w:tcPr>
            <w:tcW w:w="1937"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12</w:t>
            </w:r>
          </w:p>
        </w:tc>
        <w:tc>
          <w:tcPr>
            <w:tcW w:w="1280"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30</w:t>
            </w:r>
          </w:p>
        </w:tc>
      </w:tr>
      <w:tr>
        <w:tblPrEx>
          <w:tblLayout w:type="fixed"/>
          <w:tblCellMar>
            <w:top w:w="0" w:type="dxa"/>
            <w:left w:w="0" w:type="dxa"/>
            <w:bottom w:w="0" w:type="dxa"/>
            <w:right w:w="0" w:type="dxa"/>
          </w:tblCellMar>
        </w:tblPrEx>
        <w:trPr>
          <w:trHeight w:val="624" w:hRule="atLeast"/>
          <w:jc w:val="center"/>
        </w:trPr>
        <w:tc>
          <w:tcPr>
            <w:tcW w:w="816" w:type="dxa"/>
            <w:tcBorders>
              <w:top w:val="single" w:color="auto" w:sz="8" w:space="0"/>
              <w:left w:val="single" w:color="auto" w:sz="8" w:space="0"/>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6</w:t>
            </w:r>
          </w:p>
        </w:tc>
        <w:tc>
          <w:tcPr>
            <w:tcW w:w="1224"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rFonts w:hint="eastAsia"/>
                <w:kern w:val="0"/>
                <w:sz w:val="24"/>
                <w:szCs w:val="19"/>
              </w:rPr>
              <w:t>淮滨县</w:t>
            </w:r>
          </w:p>
        </w:tc>
        <w:tc>
          <w:tcPr>
            <w:tcW w:w="1949"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6</w:t>
            </w:r>
          </w:p>
        </w:tc>
        <w:tc>
          <w:tcPr>
            <w:tcW w:w="1866"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11</w:t>
            </w:r>
          </w:p>
        </w:tc>
        <w:tc>
          <w:tcPr>
            <w:tcW w:w="1937"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11</w:t>
            </w:r>
          </w:p>
        </w:tc>
        <w:tc>
          <w:tcPr>
            <w:tcW w:w="1280"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28</w:t>
            </w:r>
          </w:p>
        </w:tc>
      </w:tr>
      <w:tr>
        <w:tblPrEx>
          <w:tblLayout w:type="fixed"/>
          <w:tblCellMar>
            <w:top w:w="0" w:type="dxa"/>
            <w:left w:w="0" w:type="dxa"/>
            <w:bottom w:w="0" w:type="dxa"/>
            <w:right w:w="0" w:type="dxa"/>
          </w:tblCellMar>
        </w:tblPrEx>
        <w:trPr>
          <w:trHeight w:val="624" w:hRule="atLeast"/>
          <w:jc w:val="center"/>
        </w:trPr>
        <w:tc>
          <w:tcPr>
            <w:tcW w:w="816" w:type="dxa"/>
            <w:tcBorders>
              <w:top w:val="single" w:color="auto" w:sz="8" w:space="0"/>
              <w:left w:val="single" w:color="auto" w:sz="8" w:space="0"/>
              <w:bottom w:val="single" w:color="auto" w:sz="8" w:space="0"/>
              <w:right w:val="single" w:color="auto" w:sz="8" w:space="0"/>
            </w:tcBorders>
            <w:vAlign w:val="center"/>
          </w:tcPr>
          <w:p>
            <w:pPr>
              <w:widowControl/>
              <w:spacing w:line="302" w:lineRule="atLeast"/>
              <w:jc w:val="center"/>
              <w:rPr>
                <w:rFonts w:hint="eastAsia"/>
                <w:kern w:val="0"/>
                <w:sz w:val="24"/>
                <w:szCs w:val="19"/>
              </w:rPr>
            </w:pPr>
            <w:r>
              <w:rPr>
                <w:rFonts w:hint="eastAsia"/>
                <w:kern w:val="0"/>
                <w:sz w:val="24"/>
                <w:szCs w:val="19"/>
              </w:rPr>
              <w:t>7</w:t>
            </w:r>
          </w:p>
        </w:tc>
        <w:tc>
          <w:tcPr>
            <w:tcW w:w="1224"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rFonts w:hint="eastAsia"/>
                <w:kern w:val="0"/>
                <w:sz w:val="24"/>
                <w:szCs w:val="19"/>
              </w:rPr>
              <w:t>光山县</w:t>
            </w:r>
          </w:p>
        </w:tc>
        <w:tc>
          <w:tcPr>
            <w:tcW w:w="1949"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6</w:t>
            </w:r>
          </w:p>
        </w:tc>
        <w:tc>
          <w:tcPr>
            <w:tcW w:w="1866"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14</w:t>
            </w:r>
          </w:p>
        </w:tc>
        <w:tc>
          <w:tcPr>
            <w:tcW w:w="1937"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14</w:t>
            </w:r>
          </w:p>
        </w:tc>
        <w:tc>
          <w:tcPr>
            <w:tcW w:w="1280"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34</w:t>
            </w:r>
          </w:p>
        </w:tc>
      </w:tr>
      <w:tr>
        <w:tblPrEx>
          <w:tblLayout w:type="fixed"/>
          <w:tblCellMar>
            <w:top w:w="0" w:type="dxa"/>
            <w:left w:w="0" w:type="dxa"/>
            <w:bottom w:w="0" w:type="dxa"/>
            <w:right w:w="0" w:type="dxa"/>
          </w:tblCellMar>
        </w:tblPrEx>
        <w:trPr>
          <w:trHeight w:val="624" w:hRule="atLeast"/>
          <w:jc w:val="center"/>
        </w:trPr>
        <w:tc>
          <w:tcPr>
            <w:tcW w:w="816" w:type="dxa"/>
            <w:tcBorders>
              <w:top w:val="single" w:color="auto" w:sz="8" w:space="0"/>
              <w:left w:val="single" w:color="auto" w:sz="8" w:space="0"/>
              <w:bottom w:val="single" w:color="auto" w:sz="8" w:space="0"/>
              <w:right w:val="single" w:color="auto" w:sz="8" w:space="0"/>
            </w:tcBorders>
            <w:vAlign w:val="center"/>
          </w:tcPr>
          <w:p>
            <w:pPr>
              <w:widowControl/>
              <w:spacing w:line="302" w:lineRule="atLeast"/>
              <w:jc w:val="center"/>
              <w:rPr>
                <w:rFonts w:hint="eastAsia"/>
                <w:kern w:val="0"/>
                <w:sz w:val="24"/>
                <w:szCs w:val="19"/>
              </w:rPr>
            </w:pPr>
            <w:r>
              <w:rPr>
                <w:rFonts w:hint="eastAsia"/>
                <w:kern w:val="0"/>
                <w:sz w:val="24"/>
                <w:szCs w:val="19"/>
              </w:rPr>
              <w:t>8</w:t>
            </w:r>
          </w:p>
        </w:tc>
        <w:tc>
          <w:tcPr>
            <w:tcW w:w="1224"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rFonts w:hint="eastAsia"/>
                <w:kern w:val="0"/>
                <w:sz w:val="24"/>
                <w:szCs w:val="19"/>
              </w:rPr>
              <w:t>商城县</w:t>
            </w:r>
          </w:p>
        </w:tc>
        <w:tc>
          <w:tcPr>
            <w:tcW w:w="1949"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6</w:t>
            </w:r>
          </w:p>
        </w:tc>
        <w:tc>
          <w:tcPr>
            <w:tcW w:w="1866"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12</w:t>
            </w:r>
          </w:p>
        </w:tc>
        <w:tc>
          <w:tcPr>
            <w:tcW w:w="1937"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12</w:t>
            </w:r>
          </w:p>
        </w:tc>
        <w:tc>
          <w:tcPr>
            <w:tcW w:w="1280"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30</w:t>
            </w:r>
          </w:p>
        </w:tc>
      </w:tr>
      <w:tr>
        <w:tblPrEx>
          <w:tblLayout w:type="fixed"/>
          <w:tblCellMar>
            <w:top w:w="0" w:type="dxa"/>
            <w:left w:w="0" w:type="dxa"/>
            <w:bottom w:w="0" w:type="dxa"/>
            <w:right w:w="0" w:type="dxa"/>
          </w:tblCellMar>
        </w:tblPrEx>
        <w:trPr>
          <w:trHeight w:val="624" w:hRule="atLeast"/>
          <w:jc w:val="center"/>
        </w:trPr>
        <w:tc>
          <w:tcPr>
            <w:tcW w:w="816" w:type="dxa"/>
            <w:tcBorders>
              <w:top w:val="single" w:color="auto" w:sz="8" w:space="0"/>
              <w:left w:val="single" w:color="auto" w:sz="8" w:space="0"/>
              <w:bottom w:val="single" w:color="auto" w:sz="8" w:space="0"/>
              <w:right w:val="single" w:color="auto" w:sz="8" w:space="0"/>
            </w:tcBorders>
            <w:vAlign w:val="center"/>
          </w:tcPr>
          <w:p>
            <w:pPr>
              <w:widowControl/>
              <w:spacing w:line="302" w:lineRule="atLeast"/>
              <w:jc w:val="center"/>
              <w:rPr>
                <w:rFonts w:hint="eastAsia"/>
                <w:kern w:val="0"/>
                <w:sz w:val="24"/>
                <w:szCs w:val="19"/>
              </w:rPr>
            </w:pPr>
            <w:r>
              <w:rPr>
                <w:rFonts w:hint="eastAsia"/>
                <w:kern w:val="0"/>
                <w:sz w:val="24"/>
                <w:szCs w:val="19"/>
              </w:rPr>
              <w:t>9</w:t>
            </w:r>
          </w:p>
        </w:tc>
        <w:tc>
          <w:tcPr>
            <w:tcW w:w="1224"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rFonts w:hint="eastAsia"/>
                <w:kern w:val="0"/>
                <w:sz w:val="24"/>
                <w:szCs w:val="19"/>
              </w:rPr>
              <w:t>新县</w:t>
            </w:r>
          </w:p>
        </w:tc>
        <w:tc>
          <w:tcPr>
            <w:tcW w:w="1949"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6</w:t>
            </w:r>
          </w:p>
        </w:tc>
        <w:tc>
          <w:tcPr>
            <w:tcW w:w="1866"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8</w:t>
            </w:r>
          </w:p>
        </w:tc>
        <w:tc>
          <w:tcPr>
            <w:tcW w:w="1937"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8</w:t>
            </w:r>
          </w:p>
        </w:tc>
        <w:tc>
          <w:tcPr>
            <w:tcW w:w="1280"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22</w:t>
            </w:r>
          </w:p>
        </w:tc>
      </w:tr>
      <w:tr>
        <w:tblPrEx>
          <w:tblLayout w:type="fixed"/>
          <w:tblCellMar>
            <w:top w:w="0" w:type="dxa"/>
            <w:left w:w="0" w:type="dxa"/>
            <w:bottom w:w="0" w:type="dxa"/>
            <w:right w:w="0" w:type="dxa"/>
          </w:tblCellMar>
        </w:tblPrEx>
        <w:trPr>
          <w:trHeight w:val="624" w:hRule="atLeast"/>
          <w:jc w:val="center"/>
        </w:trPr>
        <w:tc>
          <w:tcPr>
            <w:tcW w:w="2040" w:type="dxa"/>
            <w:gridSpan w:val="2"/>
            <w:tcBorders>
              <w:top w:val="single" w:color="auto" w:sz="8" w:space="0"/>
              <w:left w:val="single" w:color="auto" w:sz="8" w:space="0"/>
              <w:bottom w:val="single" w:color="auto" w:sz="8" w:space="0"/>
              <w:right w:val="single" w:color="auto" w:sz="8" w:space="0"/>
            </w:tcBorders>
            <w:vAlign w:val="center"/>
          </w:tcPr>
          <w:p>
            <w:pPr>
              <w:widowControl/>
              <w:spacing w:line="302" w:lineRule="atLeast"/>
              <w:jc w:val="center"/>
              <w:rPr>
                <w:kern w:val="0"/>
                <w:sz w:val="24"/>
                <w:szCs w:val="19"/>
              </w:rPr>
            </w:pPr>
            <w:r>
              <w:rPr>
                <w:rFonts w:hint="eastAsia"/>
                <w:kern w:val="0"/>
                <w:sz w:val="24"/>
                <w:szCs w:val="19"/>
              </w:rPr>
              <w:t>小</w:t>
            </w:r>
            <w:r>
              <w:rPr>
                <w:kern w:val="0"/>
                <w:sz w:val="24"/>
                <w:szCs w:val="19"/>
              </w:rPr>
              <w:t xml:space="preserve"> </w:t>
            </w:r>
            <w:r>
              <w:rPr>
                <w:rFonts w:hint="eastAsia"/>
                <w:kern w:val="0"/>
                <w:sz w:val="24"/>
                <w:szCs w:val="19"/>
              </w:rPr>
              <w:t>计</w:t>
            </w:r>
          </w:p>
        </w:tc>
        <w:tc>
          <w:tcPr>
            <w:tcW w:w="1949"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52</w:t>
            </w:r>
          </w:p>
        </w:tc>
        <w:tc>
          <w:tcPr>
            <w:tcW w:w="1866"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98</w:t>
            </w:r>
          </w:p>
        </w:tc>
        <w:tc>
          <w:tcPr>
            <w:tcW w:w="1937"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95</w:t>
            </w:r>
          </w:p>
        </w:tc>
        <w:tc>
          <w:tcPr>
            <w:tcW w:w="1280" w:type="dxa"/>
            <w:tcBorders>
              <w:top w:val="single" w:color="auto" w:sz="8" w:space="0"/>
              <w:left w:val="nil"/>
              <w:bottom w:val="single" w:color="auto" w:sz="8" w:space="0"/>
              <w:right w:val="single" w:color="auto" w:sz="8" w:space="0"/>
            </w:tcBorders>
            <w:vAlign w:val="center"/>
          </w:tcPr>
          <w:p>
            <w:pPr>
              <w:widowControl/>
              <w:spacing w:line="302" w:lineRule="atLeast"/>
              <w:jc w:val="center"/>
              <w:rPr>
                <w:kern w:val="0"/>
                <w:sz w:val="24"/>
                <w:szCs w:val="19"/>
              </w:rPr>
            </w:pPr>
            <w:r>
              <w:rPr>
                <w:kern w:val="0"/>
                <w:sz w:val="24"/>
                <w:szCs w:val="19"/>
              </w:rPr>
              <w:t>245</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3C0041" w:csb1="A0080000"/>
  </w:font>
  <w:font w:name="方正仿宋">
    <w:altName w:val="方正北魏楷书简体"/>
    <w:panose1 w:val="00000000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北魏楷书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73478"/>
    <w:rsid w:val="091734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2017-07-25T02:11:00Z</dcterms:created>
  <dc:creator>Administrator</dc:creator>
  <cp:lastModifiedBy>Administrator</cp:lastModifiedBy>
  <dcterms:modified xsi:type="dcterms:W3CDTF">2017-07-25T02:11:47Z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