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sz w:val="40"/>
          <w:szCs w:val="40"/>
        </w:rPr>
      </w:pPr>
      <w:bookmarkStart w:id="94" w:name="_GoBack"/>
      <w:r>
        <w:rPr>
          <w:rFonts w:eastAsia="方正小标宋_GBK"/>
          <w:sz w:val="40"/>
          <w:szCs w:val="40"/>
        </w:rPr>
        <w:t>信阳市“十三五”农业和农村经济</w:t>
      </w:r>
    </w:p>
    <w:p>
      <w:pPr>
        <w:spacing w:line="700" w:lineRule="exact"/>
        <w:jc w:val="center"/>
        <w:rPr>
          <w:rFonts w:eastAsia="方正小标宋_GBK"/>
          <w:sz w:val="40"/>
          <w:szCs w:val="40"/>
        </w:rPr>
      </w:pPr>
      <w:r>
        <w:rPr>
          <w:rFonts w:eastAsia="方正小标宋_GBK"/>
          <w:sz w:val="40"/>
          <w:szCs w:val="40"/>
        </w:rPr>
        <w:t>发 展 规 划</w:t>
      </w:r>
    </w:p>
    <w:bookmarkEnd w:id="94"/>
    <w:p>
      <w:pPr>
        <w:spacing w:line="580" w:lineRule="exact"/>
        <w:rPr>
          <w:rFonts w:eastAsia="仿宋_GB2312"/>
        </w:rPr>
      </w:pPr>
    </w:p>
    <w:p>
      <w:pPr>
        <w:spacing w:line="580" w:lineRule="exact"/>
        <w:ind w:firstLine="624"/>
      </w:pPr>
      <w:r>
        <w:t xml:space="preserve">“十三五”时期是全面建成小康社会的决胜阶段，是信阳发展机遇集中体现的时期，也是我市农业和农村发展的关键时期。为明确“十三五”农业发展的目标任务和方向重点，加快推进农业现代化进程，根据信阳市“十三五”规划编制要求，特制定《信阳市“十三五”农业和农村经济发展规划》。 </w:t>
      </w:r>
    </w:p>
    <w:p>
      <w:pPr>
        <w:spacing w:line="580" w:lineRule="exact"/>
        <w:rPr>
          <w:rFonts w:eastAsia="仿宋_GB2312"/>
          <w:szCs w:val="20"/>
        </w:rPr>
      </w:pPr>
    </w:p>
    <w:p>
      <w:pPr>
        <w:keepNext/>
        <w:keepLines/>
        <w:spacing w:line="580" w:lineRule="exact"/>
        <w:jc w:val="center"/>
        <w:outlineLvl w:val="0"/>
        <w:rPr>
          <w:rFonts w:eastAsia="黑体"/>
          <w:kern w:val="44"/>
        </w:rPr>
      </w:pPr>
      <w:bookmarkStart w:id="0" w:name="_Toc480812436"/>
      <w:bookmarkStart w:id="1" w:name="_Toc483496241"/>
      <w:r>
        <w:rPr>
          <w:rFonts w:eastAsia="黑体"/>
          <w:kern w:val="44"/>
        </w:rPr>
        <w:t>第一章  规划背景</w:t>
      </w:r>
      <w:bookmarkEnd w:id="0"/>
      <w:bookmarkEnd w:id="1"/>
    </w:p>
    <w:p>
      <w:pPr>
        <w:spacing w:line="580" w:lineRule="exact"/>
        <w:rPr>
          <w:rFonts w:eastAsia="仿宋_GB2312"/>
          <w:szCs w:val="20"/>
        </w:rPr>
      </w:pPr>
    </w:p>
    <w:p>
      <w:pPr>
        <w:keepNext/>
        <w:keepLines/>
        <w:spacing w:line="580" w:lineRule="exact"/>
        <w:jc w:val="center"/>
        <w:outlineLvl w:val="1"/>
        <w:rPr>
          <w:rFonts w:eastAsia="方正楷体_GBK"/>
          <w:b/>
          <w:bCs/>
        </w:rPr>
      </w:pPr>
      <w:bookmarkStart w:id="2" w:name="_Toc483496242"/>
      <w:bookmarkStart w:id="3" w:name="_Toc480812437"/>
      <w:r>
        <w:rPr>
          <w:rFonts w:eastAsia="方正楷体_GBK"/>
          <w:b/>
          <w:bCs/>
        </w:rPr>
        <w:t>第一节  发展成效</w:t>
      </w:r>
      <w:bookmarkEnd w:id="2"/>
      <w:bookmarkEnd w:id="3"/>
    </w:p>
    <w:p>
      <w:pPr>
        <w:spacing w:line="580" w:lineRule="exact"/>
        <w:rPr>
          <w:rFonts w:eastAsia="仿宋_GB2312"/>
          <w:szCs w:val="20"/>
        </w:rPr>
      </w:pPr>
    </w:p>
    <w:p>
      <w:pPr>
        <w:spacing w:line="580" w:lineRule="exact"/>
        <w:ind w:firstLine="641"/>
      </w:pPr>
      <w:r>
        <w:t>“十二五”时期是我市农业农村发展的关键时期，市委市政府坚持把“三农”工作摆在重中之重的位置，按照“稳定政策、改革创新、持续发展”的总要求，主动适应经济发展新常态，实施了一系列强农惠农富农政策措施，在抢抓机遇中持续求进，在爬坡过坎中务实发展，在蓄势崛起中积极作为，干成了一批打基础利长远的大事，顺利完成了“十二五”规划确定的各项目标任务，实现了全市农业农村经济持续健康发展。</w:t>
      </w:r>
    </w:p>
    <w:p>
      <w:pPr>
        <w:spacing w:line="580" w:lineRule="exact"/>
        <w:ind w:firstLine="641"/>
      </w:pPr>
      <w:r>
        <w:t xml:space="preserve">农业综合生产能力持续提升。2015年全市粮食总产量达119.4亿斤，实现历史性的“十二连增”。全年农林牧渔业总产值797.38亿元，其中农业总产值512.21亿元，林业总产值29.39亿元，畜牧业总产值198.15亿元，渔业总产值38.41亿元，农林牧渔服务业总产值19.21亿元。全市主要粮食耕种收综合机械化水平达到68%，畜牧业和水产业健康发展，肉蛋奶和水产品产量稳定增长。  </w:t>
      </w:r>
    </w:p>
    <w:p>
      <w:pPr>
        <w:spacing w:line="580" w:lineRule="exact"/>
        <w:ind w:firstLine="641"/>
      </w:pPr>
      <w:r>
        <w:t>农业结构不断优化 。通过不断优化种植业结构，积极推广适宜当地种植的优良品种，粮食生产的质量和效益进一步显现。2015年优质粮食播种面积达1000多万亩，占粮食总面积的比重达到90%以上，其中优质小麦面积400万亩以上，优质水稻面积600万亩以上，粮食产品的优质化率普遍有较大提高，大大提高了农民种粮的收益。</w:t>
      </w:r>
    </w:p>
    <w:p>
      <w:pPr>
        <w:spacing w:line="580" w:lineRule="exact"/>
        <w:ind w:firstLine="641"/>
      </w:pPr>
      <w:r>
        <w:t>高标准粮田扎实推进。高标准粮田建设是省委、省政府确定的重点工程，也是市委、市政府安排的重点工作之一。我市坚持“渠道不乱、性质不变、统筹安排、集中使用、各负其责、各记其功”的原则，通过加大对中低产田改造、土地整治、新增千亿斤粮食工程、现代农业、小型农田水利重点县建设等涉农项目资金的整合力度，集中使用于高标准粮田建设。在已建成的高标准粮田区域内，农田基础设施条件明显得到加强，基本达到了“田成方、林成网、路相连、渠相通，旱能浇、涝能排”的生产条件。通过实施高标准粮田工程，有效改善了我市农业生产条件和生态条件，提高了粮食生产能力。</w:t>
      </w:r>
    </w:p>
    <w:p>
      <w:pPr>
        <w:spacing w:line="580" w:lineRule="exact"/>
        <w:ind w:firstLine="641"/>
      </w:pPr>
      <w:r>
        <w:t>新型农业经营主体快速发展。我市把大力培育专业大户、家庭农场、农民专业合作组织等新型农业经营主体作为推进农业发展的重要举措，通过加大宣传、强化扶持、规范运作，新型农业经营主体得到快速发展。2015年，全市在工商部门登记注册的合作社达到7190家，其中国家级示范社38家，省级示范社43家，市级示范社402家，带动农户60万余户，占全市农户总数的44%；专业大户发展到2万余户，其中经营流转土地100亩以上的专业大户6000多户；家庭农场蓬勃发展，在工商部门登记注册的达到1682家，其中省级示范家庭农场9家，市级示范家庭农场36家；各类农业经营主体流转土地面积369万亩，占耕地总面积的54.4%。</w:t>
      </w:r>
    </w:p>
    <w:p>
      <w:pPr>
        <w:spacing w:line="580" w:lineRule="exact"/>
        <w:ind w:firstLine="641"/>
      </w:pPr>
      <w:r>
        <w:t>农业产业化集群培育成效显著。十二五期间，我市围绕粮油、畜禽、茶叶、水产、食用菌等特色产业，积极培育农业产业化集群，推进农业适度规模经营，建成省级农业标准化示范区19个，市级以上农业产业化集群25个、农业产业化重点龙头企业345家。省级产业集群数量、省级及其以上农业产业化重点龙头企业数量均位居全省各省辖市前列。</w:t>
      </w:r>
    </w:p>
    <w:p>
      <w:pPr>
        <w:spacing w:line="580" w:lineRule="exact"/>
        <w:ind w:firstLine="641"/>
      </w:pPr>
      <w:r>
        <w:t>农村土地承包经营权确权登记颁证工作基本完成。2015年，我市作为河南省农村土地承包经营权确权登记颁证工作八个整体推进市之一，已全部完成航拍外业工作并获取航拍底图，基本完成入户调查、数据录入工作和界线指认工作。全市68家参加确权登记颁证工作中标公司全部入驻到村，入驻测绘技术人员2209人。</w:t>
      </w:r>
    </w:p>
    <w:p>
      <w:pPr>
        <w:spacing w:line="580" w:lineRule="exact"/>
        <w:ind w:firstLine="641"/>
      </w:pPr>
      <w:r>
        <w:t>各项强农惠农政策得到有效落实。2015年，全市共落实农业三项补贴资金63037.2万元，落实小麦“一喷三防”补贴资金1855万元，落实高产创建项目资金912万元；开展测土配方施肥面积1041万亩次，施配方肥7.45万吨（实物量），积造有机肥2230万方，整建制推进配方肥示范乡5个、示范村90个；全市新增沼气用户3550户，大中型沼气工程6处，小型沼气工程完成17处，建成乡村服务网点18处。</w:t>
      </w:r>
    </w:p>
    <w:p>
      <w:pPr>
        <w:spacing w:line="580" w:lineRule="exact"/>
        <w:rPr>
          <w:rFonts w:eastAsia="仿宋_GB2312"/>
          <w:bCs/>
        </w:rPr>
      </w:pPr>
    </w:p>
    <w:tbl>
      <w:tblPr>
        <w:tblStyle w:val="3"/>
        <w:tblW w:w="871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3499"/>
        <w:gridCol w:w="1417"/>
        <w:gridCol w:w="149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710" w:type="dxa"/>
            <w:gridSpan w:val="5"/>
            <w:vAlign w:val="center"/>
          </w:tcPr>
          <w:p>
            <w:pPr>
              <w:spacing w:line="400" w:lineRule="exact"/>
              <w:rPr>
                <w:rFonts w:eastAsia="黑体"/>
                <w:bCs/>
              </w:rPr>
            </w:pPr>
            <w:r>
              <w:rPr>
                <w:rFonts w:eastAsia="黑体"/>
                <w:bCs/>
              </w:rPr>
              <w:t>专栏1  “十二五”规划主要指标完成情况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jc w:val="center"/>
        </w:trPr>
        <w:tc>
          <w:tcPr>
            <w:tcW w:w="959" w:type="dxa"/>
            <w:vAlign w:val="center"/>
          </w:tcPr>
          <w:p>
            <w:pPr>
              <w:adjustRightInd w:val="0"/>
              <w:snapToGrid w:val="0"/>
              <w:spacing w:line="400" w:lineRule="exact"/>
              <w:jc w:val="center"/>
              <w:rPr>
                <w:rFonts w:eastAsia="黑体"/>
                <w:bCs/>
                <w:sz w:val="24"/>
              </w:rPr>
            </w:pPr>
            <w:r>
              <w:rPr>
                <w:rFonts w:eastAsia="黑体"/>
                <w:bCs/>
                <w:sz w:val="24"/>
              </w:rPr>
              <w:t>类别</w:t>
            </w:r>
          </w:p>
        </w:tc>
        <w:tc>
          <w:tcPr>
            <w:tcW w:w="3499" w:type="dxa"/>
            <w:tcBorders>
              <w:bottom w:val="single" w:color="auto" w:sz="4" w:space="0"/>
            </w:tcBorders>
            <w:vAlign w:val="center"/>
          </w:tcPr>
          <w:p>
            <w:pPr>
              <w:adjustRightInd w:val="0"/>
              <w:snapToGrid w:val="0"/>
              <w:spacing w:line="400" w:lineRule="exact"/>
              <w:jc w:val="center"/>
              <w:rPr>
                <w:rFonts w:eastAsia="黑体"/>
                <w:bCs/>
                <w:sz w:val="24"/>
              </w:rPr>
            </w:pPr>
            <w:r>
              <w:rPr>
                <w:rFonts w:eastAsia="黑体"/>
                <w:bCs/>
                <w:sz w:val="24"/>
              </w:rPr>
              <w:t>指标</w:t>
            </w:r>
          </w:p>
        </w:tc>
        <w:tc>
          <w:tcPr>
            <w:tcW w:w="1417" w:type="dxa"/>
            <w:vAlign w:val="center"/>
          </w:tcPr>
          <w:p>
            <w:pPr>
              <w:adjustRightInd w:val="0"/>
              <w:snapToGrid w:val="0"/>
              <w:spacing w:line="400" w:lineRule="exact"/>
              <w:jc w:val="center"/>
              <w:rPr>
                <w:rFonts w:eastAsia="黑体"/>
                <w:bCs/>
                <w:sz w:val="24"/>
              </w:rPr>
            </w:pPr>
            <w:r>
              <w:rPr>
                <w:rFonts w:eastAsia="黑体"/>
                <w:bCs/>
                <w:sz w:val="24"/>
              </w:rPr>
              <w:t>2010年</w:t>
            </w:r>
          </w:p>
          <w:p>
            <w:pPr>
              <w:adjustRightInd w:val="0"/>
              <w:snapToGrid w:val="0"/>
              <w:spacing w:line="400" w:lineRule="exact"/>
              <w:jc w:val="center"/>
              <w:rPr>
                <w:rFonts w:eastAsia="黑体"/>
                <w:bCs/>
                <w:sz w:val="24"/>
              </w:rPr>
            </w:pPr>
            <w:r>
              <w:rPr>
                <w:rFonts w:eastAsia="黑体"/>
                <w:bCs/>
                <w:sz w:val="24"/>
              </w:rPr>
              <w:t>基数值</w:t>
            </w:r>
          </w:p>
        </w:tc>
        <w:tc>
          <w:tcPr>
            <w:tcW w:w="1496" w:type="dxa"/>
            <w:vAlign w:val="center"/>
          </w:tcPr>
          <w:p>
            <w:pPr>
              <w:adjustRightInd w:val="0"/>
              <w:snapToGrid w:val="0"/>
              <w:spacing w:line="400" w:lineRule="exact"/>
              <w:jc w:val="center"/>
              <w:rPr>
                <w:rFonts w:eastAsia="黑体"/>
                <w:bCs/>
                <w:sz w:val="24"/>
              </w:rPr>
            </w:pPr>
            <w:r>
              <w:rPr>
                <w:rFonts w:eastAsia="黑体"/>
                <w:bCs/>
                <w:sz w:val="24"/>
              </w:rPr>
              <w:t>2015年</w:t>
            </w:r>
          </w:p>
          <w:p>
            <w:pPr>
              <w:adjustRightInd w:val="0"/>
              <w:snapToGrid w:val="0"/>
              <w:spacing w:line="400" w:lineRule="exact"/>
              <w:jc w:val="center"/>
              <w:rPr>
                <w:rFonts w:eastAsia="黑体"/>
                <w:bCs/>
                <w:sz w:val="24"/>
              </w:rPr>
            </w:pPr>
            <w:r>
              <w:rPr>
                <w:rFonts w:eastAsia="黑体"/>
                <w:bCs/>
                <w:sz w:val="24"/>
              </w:rPr>
              <w:t>目标值</w:t>
            </w:r>
          </w:p>
        </w:tc>
        <w:tc>
          <w:tcPr>
            <w:tcW w:w="1339" w:type="dxa"/>
            <w:vAlign w:val="center"/>
          </w:tcPr>
          <w:p>
            <w:pPr>
              <w:adjustRightInd w:val="0"/>
              <w:snapToGrid w:val="0"/>
              <w:spacing w:line="400" w:lineRule="exact"/>
              <w:jc w:val="center"/>
              <w:rPr>
                <w:rFonts w:eastAsia="黑体"/>
                <w:bCs/>
                <w:sz w:val="24"/>
              </w:rPr>
            </w:pPr>
            <w:r>
              <w:rPr>
                <w:rFonts w:eastAsia="黑体"/>
                <w:bCs/>
                <w:sz w:val="24"/>
              </w:rPr>
              <w:t>2015年</w:t>
            </w:r>
          </w:p>
          <w:p>
            <w:pPr>
              <w:adjustRightInd w:val="0"/>
              <w:snapToGrid w:val="0"/>
              <w:spacing w:line="400" w:lineRule="exact"/>
              <w:jc w:val="center"/>
              <w:rPr>
                <w:rFonts w:eastAsia="黑体"/>
                <w:bCs/>
                <w:sz w:val="24"/>
              </w:rPr>
            </w:pPr>
            <w:r>
              <w:rPr>
                <w:rFonts w:eastAsia="黑体"/>
                <w:bCs/>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959" w:type="dxa"/>
            <w:vMerge w:val="restart"/>
            <w:vAlign w:val="center"/>
          </w:tcPr>
          <w:p>
            <w:pPr>
              <w:adjustRightInd w:val="0"/>
              <w:snapToGrid w:val="0"/>
              <w:spacing w:line="400" w:lineRule="exact"/>
              <w:jc w:val="center"/>
              <w:rPr>
                <w:bCs/>
                <w:sz w:val="24"/>
              </w:rPr>
            </w:pPr>
            <w:r>
              <w:rPr>
                <w:bCs/>
                <w:sz w:val="24"/>
              </w:rPr>
              <w:t>生产</w:t>
            </w:r>
          </w:p>
          <w:p>
            <w:pPr>
              <w:adjustRightInd w:val="0"/>
              <w:snapToGrid w:val="0"/>
              <w:spacing w:line="400" w:lineRule="exact"/>
              <w:jc w:val="center"/>
              <w:rPr>
                <w:bCs/>
                <w:sz w:val="24"/>
              </w:rPr>
            </w:pPr>
            <w:r>
              <w:rPr>
                <w:bCs/>
                <w:sz w:val="24"/>
              </w:rPr>
              <w:t>能力</w:t>
            </w:r>
          </w:p>
        </w:tc>
        <w:tc>
          <w:tcPr>
            <w:tcW w:w="3499" w:type="dxa"/>
            <w:vAlign w:val="center"/>
          </w:tcPr>
          <w:p>
            <w:pPr>
              <w:adjustRightInd w:val="0"/>
              <w:snapToGrid w:val="0"/>
              <w:spacing w:line="400" w:lineRule="exact"/>
              <w:jc w:val="center"/>
              <w:rPr>
                <w:bCs/>
                <w:sz w:val="24"/>
              </w:rPr>
            </w:pPr>
            <w:r>
              <w:rPr>
                <w:bCs/>
                <w:sz w:val="24"/>
              </w:rPr>
              <w:t>耕地保有量（万公顷）</w:t>
            </w:r>
          </w:p>
        </w:tc>
        <w:tc>
          <w:tcPr>
            <w:tcW w:w="1417" w:type="dxa"/>
            <w:vAlign w:val="center"/>
          </w:tcPr>
          <w:p>
            <w:pPr>
              <w:adjustRightInd w:val="0"/>
              <w:snapToGrid w:val="0"/>
              <w:spacing w:line="400" w:lineRule="exact"/>
              <w:jc w:val="center"/>
              <w:rPr>
                <w:bCs/>
                <w:sz w:val="24"/>
              </w:rPr>
            </w:pPr>
            <w:r>
              <w:rPr>
                <w:bCs/>
                <w:sz w:val="24"/>
              </w:rPr>
              <w:t>56.86</w:t>
            </w:r>
          </w:p>
        </w:tc>
        <w:tc>
          <w:tcPr>
            <w:tcW w:w="1496" w:type="dxa"/>
            <w:vAlign w:val="center"/>
          </w:tcPr>
          <w:p>
            <w:pPr>
              <w:adjustRightInd w:val="0"/>
              <w:snapToGrid w:val="0"/>
              <w:spacing w:line="400" w:lineRule="exact"/>
              <w:jc w:val="center"/>
              <w:rPr>
                <w:bCs/>
                <w:sz w:val="24"/>
              </w:rPr>
            </w:pPr>
            <w:r>
              <w:rPr>
                <w:bCs/>
                <w:sz w:val="24"/>
              </w:rPr>
              <w:t>56.89</w:t>
            </w:r>
          </w:p>
        </w:tc>
        <w:tc>
          <w:tcPr>
            <w:tcW w:w="1339" w:type="dxa"/>
            <w:vAlign w:val="center"/>
          </w:tcPr>
          <w:p>
            <w:pPr>
              <w:adjustRightInd w:val="0"/>
              <w:snapToGrid w:val="0"/>
              <w:spacing w:line="400" w:lineRule="exact"/>
              <w:jc w:val="center"/>
              <w:rPr>
                <w:bCs/>
                <w:sz w:val="24"/>
              </w:rPr>
            </w:pPr>
            <w:r>
              <w:rPr>
                <w:bCs/>
                <w:sz w:val="24"/>
              </w:rPr>
              <w:t>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粮食综合生产能力（万吨）</w:t>
            </w:r>
          </w:p>
        </w:tc>
        <w:tc>
          <w:tcPr>
            <w:tcW w:w="1417" w:type="dxa"/>
            <w:vAlign w:val="center"/>
          </w:tcPr>
          <w:p>
            <w:pPr>
              <w:adjustRightInd w:val="0"/>
              <w:snapToGrid w:val="0"/>
              <w:spacing w:line="400" w:lineRule="exact"/>
              <w:jc w:val="center"/>
              <w:rPr>
                <w:bCs/>
                <w:sz w:val="24"/>
              </w:rPr>
            </w:pPr>
            <w:r>
              <w:rPr>
                <w:bCs/>
                <w:sz w:val="24"/>
              </w:rPr>
              <w:t>579.68</w:t>
            </w:r>
          </w:p>
        </w:tc>
        <w:tc>
          <w:tcPr>
            <w:tcW w:w="1496" w:type="dxa"/>
            <w:vAlign w:val="center"/>
          </w:tcPr>
          <w:p>
            <w:pPr>
              <w:adjustRightInd w:val="0"/>
              <w:snapToGrid w:val="0"/>
              <w:spacing w:line="400" w:lineRule="exact"/>
              <w:jc w:val="center"/>
              <w:rPr>
                <w:bCs/>
                <w:sz w:val="24"/>
              </w:rPr>
            </w:pPr>
            <w:r>
              <w:rPr>
                <w:bCs/>
                <w:sz w:val="24"/>
              </w:rPr>
              <w:t>580.00</w:t>
            </w:r>
          </w:p>
        </w:tc>
        <w:tc>
          <w:tcPr>
            <w:tcW w:w="1339" w:type="dxa"/>
            <w:vAlign w:val="center"/>
          </w:tcPr>
          <w:p>
            <w:pPr>
              <w:adjustRightInd w:val="0"/>
              <w:snapToGrid w:val="0"/>
              <w:spacing w:line="400" w:lineRule="exact"/>
              <w:jc w:val="center"/>
              <w:rPr>
                <w:bCs/>
                <w:sz w:val="24"/>
              </w:rPr>
            </w:pPr>
            <w:r>
              <w:rPr>
                <w:bCs/>
                <w:sz w:val="24"/>
              </w:rPr>
              <w:t>596.99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肉类总产量（万吨）</w:t>
            </w:r>
          </w:p>
        </w:tc>
        <w:tc>
          <w:tcPr>
            <w:tcW w:w="1417" w:type="dxa"/>
            <w:vAlign w:val="center"/>
          </w:tcPr>
          <w:p>
            <w:pPr>
              <w:adjustRightInd w:val="0"/>
              <w:snapToGrid w:val="0"/>
              <w:spacing w:line="400" w:lineRule="exact"/>
              <w:jc w:val="center"/>
              <w:rPr>
                <w:bCs/>
                <w:sz w:val="24"/>
              </w:rPr>
            </w:pPr>
            <w:r>
              <w:rPr>
                <w:bCs/>
                <w:sz w:val="24"/>
              </w:rPr>
              <w:t>57.76</w:t>
            </w:r>
          </w:p>
        </w:tc>
        <w:tc>
          <w:tcPr>
            <w:tcW w:w="1496" w:type="dxa"/>
            <w:vAlign w:val="center"/>
          </w:tcPr>
          <w:p>
            <w:pPr>
              <w:adjustRightInd w:val="0"/>
              <w:snapToGrid w:val="0"/>
              <w:spacing w:line="400" w:lineRule="exact"/>
              <w:jc w:val="center"/>
              <w:rPr>
                <w:bCs/>
                <w:sz w:val="24"/>
              </w:rPr>
            </w:pPr>
          </w:p>
        </w:tc>
        <w:tc>
          <w:tcPr>
            <w:tcW w:w="1339" w:type="dxa"/>
            <w:vAlign w:val="center"/>
          </w:tcPr>
          <w:p>
            <w:pPr>
              <w:adjustRightInd w:val="0"/>
              <w:snapToGrid w:val="0"/>
              <w:spacing w:line="400" w:lineRule="exact"/>
              <w:jc w:val="center"/>
              <w:rPr>
                <w:bCs/>
                <w:sz w:val="24"/>
              </w:rPr>
            </w:pPr>
            <w:r>
              <w:rPr>
                <w:bCs/>
                <w:sz w:val="24"/>
              </w:rPr>
              <w:t>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禽蛋产量（万吨）</w:t>
            </w:r>
          </w:p>
        </w:tc>
        <w:tc>
          <w:tcPr>
            <w:tcW w:w="1417" w:type="dxa"/>
            <w:vAlign w:val="center"/>
          </w:tcPr>
          <w:p>
            <w:pPr>
              <w:adjustRightInd w:val="0"/>
              <w:snapToGrid w:val="0"/>
              <w:spacing w:line="400" w:lineRule="exact"/>
              <w:jc w:val="center"/>
              <w:rPr>
                <w:bCs/>
                <w:sz w:val="24"/>
              </w:rPr>
            </w:pPr>
            <w:r>
              <w:rPr>
                <w:bCs/>
                <w:sz w:val="24"/>
              </w:rPr>
              <w:t>24.15</w:t>
            </w:r>
          </w:p>
        </w:tc>
        <w:tc>
          <w:tcPr>
            <w:tcW w:w="1496" w:type="dxa"/>
            <w:vAlign w:val="center"/>
          </w:tcPr>
          <w:p>
            <w:pPr>
              <w:adjustRightInd w:val="0"/>
              <w:snapToGrid w:val="0"/>
              <w:spacing w:line="400" w:lineRule="exact"/>
              <w:jc w:val="center"/>
              <w:rPr>
                <w:bCs/>
                <w:sz w:val="24"/>
              </w:rPr>
            </w:pPr>
          </w:p>
        </w:tc>
        <w:tc>
          <w:tcPr>
            <w:tcW w:w="1339" w:type="dxa"/>
            <w:vAlign w:val="center"/>
          </w:tcPr>
          <w:p>
            <w:pPr>
              <w:adjustRightInd w:val="0"/>
              <w:snapToGrid w:val="0"/>
              <w:spacing w:line="400" w:lineRule="exact"/>
              <w:jc w:val="center"/>
              <w:rPr>
                <w:bCs/>
                <w:sz w:val="24"/>
              </w:rPr>
            </w:pPr>
            <w:r>
              <w:rPr>
                <w:bCs/>
                <w:sz w:val="24"/>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奶类产量（万吨）</w:t>
            </w:r>
          </w:p>
        </w:tc>
        <w:tc>
          <w:tcPr>
            <w:tcW w:w="1417" w:type="dxa"/>
            <w:tcBorders>
              <w:bottom w:val="single" w:color="auto" w:sz="4" w:space="0"/>
            </w:tcBorders>
            <w:vAlign w:val="center"/>
          </w:tcPr>
          <w:p>
            <w:pPr>
              <w:adjustRightInd w:val="0"/>
              <w:snapToGrid w:val="0"/>
              <w:spacing w:line="400" w:lineRule="exact"/>
              <w:jc w:val="center"/>
              <w:rPr>
                <w:bCs/>
                <w:sz w:val="24"/>
              </w:rPr>
            </w:pPr>
            <w:r>
              <w:rPr>
                <w:bCs/>
                <w:sz w:val="24"/>
              </w:rPr>
              <w:t>0.82</w:t>
            </w:r>
          </w:p>
        </w:tc>
        <w:tc>
          <w:tcPr>
            <w:tcW w:w="1496" w:type="dxa"/>
            <w:tcBorders>
              <w:bottom w:val="single" w:color="auto" w:sz="4" w:space="0"/>
            </w:tcBorders>
            <w:vAlign w:val="center"/>
          </w:tcPr>
          <w:p>
            <w:pPr>
              <w:adjustRightInd w:val="0"/>
              <w:snapToGrid w:val="0"/>
              <w:spacing w:line="400" w:lineRule="exact"/>
              <w:jc w:val="center"/>
              <w:rPr>
                <w:bCs/>
                <w:sz w:val="24"/>
              </w:rPr>
            </w:pPr>
          </w:p>
        </w:tc>
        <w:tc>
          <w:tcPr>
            <w:tcW w:w="1339" w:type="dxa"/>
            <w:tcBorders>
              <w:bottom w:val="single" w:color="auto" w:sz="4" w:space="0"/>
            </w:tcBorders>
            <w:vAlign w:val="center"/>
          </w:tcPr>
          <w:p>
            <w:pPr>
              <w:adjustRightInd w:val="0"/>
              <w:snapToGrid w:val="0"/>
              <w:spacing w:line="400" w:lineRule="exact"/>
              <w:jc w:val="center"/>
              <w:rPr>
                <w:bCs/>
                <w:sz w:val="24"/>
              </w:rPr>
            </w:pPr>
            <w:r>
              <w:rPr>
                <w:bCs/>
                <w:sz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959" w:type="dxa"/>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水产品（万吨）</w:t>
            </w:r>
          </w:p>
        </w:tc>
        <w:tc>
          <w:tcPr>
            <w:tcW w:w="1417" w:type="dxa"/>
            <w:vAlign w:val="center"/>
          </w:tcPr>
          <w:p>
            <w:pPr>
              <w:adjustRightInd w:val="0"/>
              <w:snapToGrid w:val="0"/>
              <w:spacing w:line="400" w:lineRule="exact"/>
              <w:jc w:val="center"/>
              <w:rPr>
                <w:bCs/>
                <w:sz w:val="24"/>
              </w:rPr>
            </w:pPr>
            <w:r>
              <w:rPr>
                <w:bCs/>
                <w:sz w:val="24"/>
              </w:rPr>
              <w:t>26.1</w:t>
            </w:r>
          </w:p>
        </w:tc>
        <w:tc>
          <w:tcPr>
            <w:tcW w:w="1496" w:type="dxa"/>
            <w:vAlign w:val="center"/>
          </w:tcPr>
          <w:p>
            <w:pPr>
              <w:adjustRightInd w:val="0"/>
              <w:snapToGrid w:val="0"/>
              <w:spacing w:line="400" w:lineRule="exact"/>
              <w:jc w:val="center"/>
              <w:rPr>
                <w:bCs/>
                <w:sz w:val="24"/>
              </w:rPr>
            </w:pPr>
          </w:p>
        </w:tc>
        <w:tc>
          <w:tcPr>
            <w:tcW w:w="1339" w:type="dxa"/>
            <w:vAlign w:val="center"/>
          </w:tcPr>
          <w:p>
            <w:pPr>
              <w:adjustRightInd w:val="0"/>
              <w:snapToGrid w:val="0"/>
              <w:spacing w:line="400" w:lineRule="exact"/>
              <w:jc w:val="center"/>
              <w:rPr>
                <w:bCs/>
                <w:sz w:val="24"/>
              </w:rPr>
            </w:pPr>
            <w:r>
              <w:rPr>
                <w:bCs/>
                <w:sz w:val="24"/>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2" w:hRule="atLeast"/>
          <w:jc w:val="center"/>
        </w:trPr>
        <w:tc>
          <w:tcPr>
            <w:tcW w:w="959" w:type="dxa"/>
            <w:vMerge w:val="restart"/>
            <w:vAlign w:val="center"/>
          </w:tcPr>
          <w:p>
            <w:pPr>
              <w:adjustRightInd w:val="0"/>
              <w:snapToGrid w:val="0"/>
              <w:spacing w:line="400" w:lineRule="exact"/>
              <w:jc w:val="center"/>
              <w:rPr>
                <w:bCs/>
                <w:sz w:val="24"/>
              </w:rPr>
            </w:pPr>
            <w:r>
              <w:rPr>
                <w:bCs/>
                <w:sz w:val="24"/>
              </w:rPr>
              <w:t>发展</w:t>
            </w:r>
          </w:p>
          <w:p>
            <w:pPr>
              <w:adjustRightInd w:val="0"/>
              <w:snapToGrid w:val="0"/>
              <w:spacing w:line="400" w:lineRule="exact"/>
              <w:jc w:val="center"/>
              <w:rPr>
                <w:bCs/>
                <w:sz w:val="24"/>
              </w:rPr>
            </w:pPr>
            <w:r>
              <w:rPr>
                <w:bCs/>
                <w:sz w:val="24"/>
              </w:rPr>
              <w:t>水平</w:t>
            </w:r>
          </w:p>
        </w:tc>
        <w:tc>
          <w:tcPr>
            <w:tcW w:w="3499" w:type="dxa"/>
            <w:vAlign w:val="center"/>
          </w:tcPr>
          <w:p>
            <w:pPr>
              <w:adjustRightInd w:val="0"/>
              <w:snapToGrid w:val="0"/>
              <w:spacing w:line="400" w:lineRule="exact"/>
              <w:jc w:val="center"/>
              <w:rPr>
                <w:bCs/>
                <w:sz w:val="24"/>
              </w:rPr>
            </w:pPr>
            <w:r>
              <w:rPr>
                <w:bCs/>
                <w:sz w:val="24"/>
              </w:rPr>
              <w:t>畜牧业产值占农业总产值的比重（%）</w:t>
            </w:r>
          </w:p>
        </w:tc>
        <w:tc>
          <w:tcPr>
            <w:tcW w:w="1417" w:type="dxa"/>
            <w:vAlign w:val="center"/>
          </w:tcPr>
          <w:p>
            <w:pPr>
              <w:adjustRightInd w:val="0"/>
              <w:snapToGrid w:val="0"/>
              <w:spacing w:line="400" w:lineRule="exact"/>
              <w:jc w:val="center"/>
              <w:rPr>
                <w:bCs/>
                <w:sz w:val="24"/>
              </w:rPr>
            </w:pPr>
            <w:r>
              <w:rPr>
                <w:bCs/>
                <w:sz w:val="24"/>
              </w:rPr>
              <w:t>25.14</w:t>
            </w:r>
          </w:p>
        </w:tc>
        <w:tc>
          <w:tcPr>
            <w:tcW w:w="1496" w:type="dxa"/>
            <w:vAlign w:val="center"/>
          </w:tcPr>
          <w:p>
            <w:pPr>
              <w:adjustRightInd w:val="0"/>
              <w:snapToGrid w:val="0"/>
              <w:spacing w:line="400" w:lineRule="exact"/>
              <w:jc w:val="center"/>
              <w:rPr>
                <w:bCs/>
                <w:sz w:val="24"/>
              </w:rPr>
            </w:pPr>
            <w:r>
              <w:rPr>
                <w:bCs/>
                <w:sz w:val="24"/>
              </w:rPr>
              <w:t>-</w:t>
            </w:r>
          </w:p>
        </w:tc>
        <w:tc>
          <w:tcPr>
            <w:tcW w:w="1339" w:type="dxa"/>
            <w:vAlign w:val="center"/>
          </w:tcPr>
          <w:p>
            <w:pPr>
              <w:adjustRightInd w:val="0"/>
              <w:snapToGrid w:val="0"/>
              <w:spacing w:line="400" w:lineRule="exact"/>
              <w:jc w:val="center"/>
              <w:rPr>
                <w:bCs/>
                <w:sz w:val="24"/>
              </w:rPr>
            </w:pPr>
            <w:r>
              <w:rPr>
                <w:bCs/>
                <w:sz w:val="24"/>
              </w:rPr>
              <w:t>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主要农作物耕种收综合机械化水平（%）</w:t>
            </w:r>
          </w:p>
        </w:tc>
        <w:tc>
          <w:tcPr>
            <w:tcW w:w="1417" w:type="dxa"/>
            <w:vAlign w:val="center"/>
          </w:tcPr>
          <w:p>
            <w:pPr>
              <w:adjustRightInd w:val="0"/>
              <w:snapToGrid w:val="0"/>
              <w:spacing w:line="400" w:lineRule="exact"/>
              <w:jc w:val="center"/>
              <w:rPr>
                <w:bCs/>
                <w:sz w:val="24"/>
              </w:rPr>
            </w:pPr>
            <w:r>
              <w:rPr>
                <w:bCs/>
                <w:sz w:val="24"/>
              </w:rPr>
              <w:t>55.4</w:t>
            </w:r>
          </w:p>
        </w:tc>
        <w:tc>
          <w:tcPr>
            <w:tcW w:w="1496" w:type="dxa"/>
            <w:vAlign w:val="center"/>
          </w:tcPr>
          <w:p>
            <w:pPr>
              <w:adjustRightInd w:val="0"/>
              <w:snapToGrid w:val="0"/>
              <w:spacing w:line="400" w:lineRule="exact"/>
              <w:jc w:val="center"/>
              <w:rPr>
                <w:bCs/>
                <w:sz w:val="24"/>
              </w:rPr>
            </w:pPr>
            <w:r>
              <w:rPr>
                <w:bCs/>
                <w:sz w:val="24"/>
              </w:rPr>
              <w:t>60</w:t>
            </w:r>
          </w:p>
        </w:tc>
        <w:tc>
          <w:tcPr>
            <w:tcW w:w="1339" w:type="dxa"/>
            <w:vAlign w:val="center"/>
          </w:tcPr>
          <w:p>
            <w:pPr>
              <w:adjustRightInd w:val="0"/>
              <w:snapToGrid w:val="0"/>
              <w:spacing w:line="400" w:lineRule="exact"/>
              <w:jc w:val="center"/>
              <w:rPr>
                <w:bCs/>
                <w:sz w:val="24"/>
              </w:rPr>
            </w:pPr>
            <w:r>
              <w:rPr>
                <w:bCs/>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5"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农业灌溉用水有效利用系数</w:t>
            </w:r>
          </w:p>
        </w:tc>
        <w:tc>
          <w:tcPr>
            <w:tcW w:w="1417" w:type="dxa"/>
            <w:vAlign w:val="center"/>
          </w:tcPr>
          <w:p>
            <w:pPr>
              <w:adjustRightInd w:val="0"/>
              <w:snapToGrid w:val="0"/>
              <w:spacing w:line="400" w:lineRule="exact"/>
              <w:jc w:val="center"/>
              <w:rPr>
                <w:bCs/>
                <w:sz w:val="24"/>
              </w:rPr>
            </w:pPr>
            <w:r>
              <w:rPr>
                <w:bCs/>
                <w:sz w:val="24"/>
              </w:rPr>
              <w:t>0.42</w:t>
            </w:r>
          </w:p>
        </w:tc>
        <w:tc>
          <w:tcPr>
            <w:tcW w:w="1496" w:type="dxa"/>
            <w:vAlign w:val="center"/>
          </w:tcPr>
          <w:p>
            <w:pPr>
              <w:adjustRightInd w:val="0"/>
              <w:snapToGrid w:val="0"/>
              <w:spacing w:line="400" w:lineRule="exact"/>
              <w:jc w:val="center"/>
              <w:rPr>
                <w:bCs/>
                <w:sz w:val="24"/>
              </w:rPr>
            </w:pPr>
            <w:r>
              <w:rPr>
                <w:bCs/>
                <w:sz w:val="24"/>
              </w:rPr>
              <w:t>0.45</w:t>
            </w:r>
          </w:p>
        </w:tc>
        <w:tc>
          <w:tcPr>
            <w:tcW w:w="1339" w:type="dxa"/>
            <w:vAlign w:val="center"/>
          </w:tcPr>
          <w:p>
            <w:pPr>
              <w:adjustRightInd w:val="0"/>
              <w:snapToGrid w:val="0"/>
              <w:spacing w:line="400" w:lineRule="exact"/>
              <w:jc w:val="center"/>
              <w:rPr>
                <w:bCs/>
                <w:sz w:val="24"/>
              </w:rPr>
            </w:pPr>
            <w:r>
              <w:rPr>
                <w:bCs/>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959" w:type="dxa"/>
            <w:vMerge w:val="restart"/>
            <w:vAlign w:val="center"/>
          </w:tcPr>
          <w:p>
            <w:pPr>
              <w:adjustRightInd w:val="0"/>
              <w:snapToGrid w:val="0"/>
              <w:spacing w:line="400" w:lineRule="exact"/>
              <w:jc w:val="center"/>
              <w:rPr>
                <w:bCs/>
                <w:sz w:val="24"/>
              </w:rPr>
            </w:pPr>
            <w:r>
              <w:rPr>
                <w:bCs/>
                <w:sz w:val="24"/>
              </w:rPr>
              <w:t>生态</w:t>
            </w:r>
          </w:p>
          <w:p>
            <w:pPr>
              <w:adjustRightInd w:val="0"/>
              <w:snapToGrid w:val="0"/>
              <w:spacing w:line="400" w:lineRule="exact"/>
              <w:jc w:val="center"/>
              <w:rPr>
                <w:bCs/>
                <w:sz w:val="24"/>
              </w:rPr>
            </w:pPr>
            <w:r>
              <w:rPr>
                <w:bCs/>
                <w:sz w:val="24"/>
              </w:rPr>
              <w:t>人居</w:t>
            </w:r>
          </w:p>
        </w:tc>
        <w:tc>
          <w:tcPr>
            <w:tcW w:w="3499" w:type="dxa"/>
            <w:vAlign w:val="center"/>
          </w:tcPr>
          <w:p>
            <w:pPr>
              <w:adjustRightInd w:val="0"/>
              <w:snapToGrid w:val="0"/>
              <w:spacing w:line="400" w:lineRule="exact"/>
              <w:jc w:val="center"/>
              <w:rPr>
                <w:bCs/>
                <w:sz w:val="24"/>
              </w:rPr>
            </w:pPr>
            <w:r>
              <w:rPr>
                <w:bCs/>
                <w:sz w:val="24"/>
              </w:rPr>
              <w:t>森林覆盖率（%）</w:t>
            </w:r>
          </w:p>
        </w:tc>
        <w:tc>
          <w:tcPr>
            <w:tcW w:w="1417" w:type="dxa"/>
            <w:vAlign w:val="center"/>
          </w:tcPr>
          <w:p>
            <w:pPr>
              <w:adjustRightInd w:val="0"/>
              <w:snapToGrid w:val="0"/>
              <w:spacing w:line="400" w:lineRule="exact"/>
              <w:jc w:val="center"/>
              <w:rPr>
                <w:bCs/>
                <w:sz w:val="24"/>
              </w:rPr>
            </w:pPr>
            <w:r>
              <w:rPr>
                <w:bCs/>
                <w:sz w:val="24"/>
              </w:rPr>
              <w:t>34.44</w:t>
            </w:r>
          </w:p>
        </w:tc>
        <w:tc>
          <w:tcPr>
            <w:tcW w:w="1496" w:type="dxa"/>
            <w:vAlign w:val="center"/>
          </w:tcPr>
          <w:p>
            <w:pPr>
              <w:adjustRightInd w:val="0"/>
              <w:snapToGrid w:val="0"/>
              <w:spacing w:line="400" w:lineRule="exact"/>
              <w:jc w:val="center"/>
              <w:rPr>
                <w:bCs/>
                <w:sz w:val="24"/>
              </w:rPr>
            </w:pPr>
            <w:r>
              <w:rPr>
                <w:bCs/>
                <w:sz w:val="24"/>
              </w:rPr>
              <w:t>36</w:t>
            </w:r>
          </w:p>
        </w:tc>
        <w:tc>
          <w:tcPr>
            <w:tcW w:w="1339" w:type="dxa"/>
            <w:vAlign w:val="center"/>
          </w:tcPr>
          <w:p>
            <w:pPr>
              <w:adjustRightInd w:val="0"/>
              <w:snapToGrid w:val="0"/>
              <w:spacing w:line="400" w:lineRule="exact"/>
              <w:jc w:val="center"/>
              <w:rPr>
                <w:bCs/>
                <w:sz w:val="24"/>
              </w:rPr>
            </w:pPr>
            <w:r>
              <w:rPr>
                <w:bCs/>
                <w:sz w:val="24"/>
              </w:rPr>
              <w:t>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959" w:type="dxa"/>
            <w:vMerge w:val="continue"/>
            <w:vAlign w:val="center"/>
          </w:tcPr>
          <w:p>
            <w:pPr>
              <w:adjustRightInd w:val="0"/>
              <w:snapToGrid w:val="0"/>
              <w:spacing w:line="400" w:lineRule="exact"/>
              <w:jc w:val="center"/>
              <w:rPr>
                <w:bCs/>
                <w:sz w:val="24"/>
              </w:rPr>
            </w:pPr>
          </w:p>
        </w:tc>
        <w:tc>
          <w:tcPr>
            <w:tcW w:w="3499" w:type="dxa"/>
            <w:vAlign w:val="center"/>
          </w:tcPr>
          <w:p>
            <w:pPr>
              <w:adjustRightInd w:val="0"/>
              <w:snapToGrid w:val="0"/>
              <w:spacing w:line="400" w:lineRule="exact"/>
              <w:jc w:val="center"/>
              <w:rPr>
                <w:bCs/>
                <w:sz w:val="24"/>
              </w:rPr>
            </w:pPr>
            <w:r>
              <w:rPr>
                <w:bCs/>
                <w:sz w:val="24"/>
              </w:rPr>
              <w:t>森林蓄积量（亿立方米）</w:t>
            </w:r>
          </w:p>
        </w:tc>
        <w:tc>
          <w:tcPr>
            <w:tcW w:w="1417" w:type="dxa"/>
            <w:vAlign w:val="center"/>
          </w:tcPr>
          <w:p>
            <w:pPr>
              <w:adjustRightInd w:val="0"/>
              <w:snapToGrid w:val="0"/>
              <w:spacing w:line="400" w:lineRule="exact"/>
              <w:jc w:val="center"/>
              <w:rPr>
                <w:bCs/>
                <w:sz w:val="24"/>
              </w:rPr>
            </w:pPr>
            <w:r>
              <w:rPr>
                <w:bCs/>
                <w:sz w:val="24"/>
              </w:rPr>
              <w:t>0.26703</w:t>
            </w:r>
          </w:p>
        </w:tc>
        <w:tc>
          <w:tcPr>
            <w:tcW w:w="1496" w:type="dxa"/>
            <w:vAlign w:val="center"/>
          </w:tcPr>
          <w:p>
            <w:pPr>
              <w:adjustRightInd w:val="0"/>
              <w:snapToGrid w:val="0"/>
              <w:spacing w:line="400" w:lineRule="exact"/>
              <w:jc w:val="center"/>
              <w:rPr>
                <w:bCs/>
                <w:sz w:val="24"/>
              </w:rPr>
            </w:pPr>
            <w:r>
              <w:rPr>
                <w:bCs/>
                <w:sz w:val="24"/>
              </w:rPr>
              <w:t>0.28</w:t>
            </w:r>
          </w:p>
        </w:tc>
        <w:tc>
          <w:tcPr>
            <w:tcW w:w="1339" w:type="dxa"/>
            <w:vAlign w:val="center"/>
          </w:tcPr>
          <w:p>
            <w:pPr>
              <w:adjustRightInd w:val="0"/>
              <w:snapToGrid w:val="0"/>
              <w:spacing w:line="400" w:lineRule="exact"/>
              <w:jc w:val="center"/>
              <w:rPr>
                <w:bCs/>
                <w:sz w:val="24"/>
              </w:rPr>
            </w:pPr>
            <w:r>
              <w:rPr>
                <w:bCs/>
                <w:sz w:val="24"/>
              </w:rPr>
              <w:t>0.30688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jc w:val="center"/>
        </w:trPr>
        <w:tc>
          <w:tcPr>
            <w:tcW w:w="959" w:type="dxa"/>
            <w:vAlign w:val="center"/>
          </w:tcPr>
          <w:p>
            <w:pPr>
              <w:adjustRightInd w:val="0"/>
              <w:snapToGrid w:val="0"/>
              <w:spacing w:line="400" w:lineRule="exact"/>
              <w:jc w:val="center"/>
              <w:rPr>
                <w:bCs/>
                <w:sz w:val="24"/>
              </w:rPr>
            </w:pPr>
            <w:r>
              <w:rPr>
                <w:bCs/>
                <w:sz w:val="24"/>
              </w:rPr>
              <w:t>生活</w:t>
            </w:r>
          </w:p>
          <w:p>
            <w:pPr>
              <w:adjustRightInd w:val="0"/>
              <w:snapToGrid w:val="0"/>
              <w:spacing w:line="400" w:lineRule="exact"/>
              <w:jc w:val="center"/>
              <w:rPr>
                <w:bCs/>
                <w:sz w:val="24"/>
              </w:rPr>
            </w:pPr>
            <w:r>
              <w:rPr>
                <w:bCs/>
                <w:sz w:val="24"/>
              </w:rPr>
              <w:t>质量</w:t>
            </w:r>
          </w:p>
        </w:tc>
        <w:tc>
          <w:tcPr>
            <w:tcW w:w="3499" w:type="dxa"/>
            <w:vAlign w:val="center"/>
          </w:tcPr>
          <w:p>
            <w:pPr>
              <w:adjustRightInd w:val="0"/>
              <w:snapToGrid w:val="0"/>
              <w:spacing w:line="400" w:lineRule="exact"/>
              <w:jc w:val="center"/>
              <w:rPr>
                <w:bCs/>
                <w:sz w:val="24"/>
              </w:rPr>
            </w:pPr>
            <w:r>
              <w:rPr>
                <w:bCs/>
                <w:sz w:val="24"/>
              </w:rPr>
              <w:t>农民人均可支配收入（元）</w:t>
            </w:r>
          </w:p>
        </w:tc>
        <w:tc>
          <w:tcPr>
            <w:tcW w:w="1417" w:type="dxa"/>
            <w:vAlign w:val="center"/>
          </w:tcPr>
          <w:p>
            <w:pPr>
              <w:adjustRightInd w:val="0"/>
              <w:snapToGrid w:val="0"/>
              <w:spacing w:line="400" w:lineRule="exact"/>
              <w:jc w:val="center"/>
              <w:rPr>
                <w:bCs/>
                <w:sz w:val="24"/>
              </w:rPr>
            </w:pPr>
            <w:r>
              <w:rPr>
                <w:bCs/>
                <w:sz w:val="24"/>
              </w:rPr>
              <w:t>5311</w:t>
            </w:r>
          </w:p>
        </w:tc>
        <w:tc>
          <w:tcPr>
            <w:tcW w:w="1496" w:type="dxa"/>
            <w:vAlign w:val="center"/>
          </w:tcPr>
          <w:p>
            <w:pPr>
              <w:adjustRightInd w:val="0"/>
              <w:snapToGrid w:val="0"/>
              <w:spacing w:line="400" w:lineRule="exact"/>
              <w:jc w:val="center"/>
              <w:rPr>
                <w:bCs/>
                <w:sz w:val="24"/>
              </w:rPr>
            </w:pPr>
            <w:r>
              <w:rPr>
                <w:bCs/>
                <w:sz w:val="24"/>
              </w:rPr>
              <w:t>8950</w:t>
            </w:r>
          </w:p>
        </w:tc>
        <w:tc>
          <w:tcPr>
            <w:tcW w:w="1339" w:type="dxa"/>
            <w:vAlign w:val="center"/>
          </w:tcPr>
          <w:p>
            <w:pPr>
              <w:adjustRightInd w:val="0"/>
              <w:snapToGrid w:val="0"/>
              <w:spacing w:line="400" w:lineRule="exact"/>
              <w:jc w:val="center"/>
              <w:rPr>
                <w:bCs/>
                <w:sz w:val="24"/>
              </w:rPr>
            </w:pPr>
            <w:r>
              <w:rPr>
                <w:bCs/>
                <w:sz w:val="24"/>
              </w:rPr>
              <w:t>9844</w:t>
            </w:r>
          </w:p>
        </w:tc>
      </w:tr>
    </w:tbl>
    <w:p>
      <w:pPr>
        <w:keepNext/>
        <w:keepLines/>
        <w:spacing w:line="580" w:lineRule="exact"/>
        <w:jc w:val="center"/>
        <w:outlineLvl w:val="1"/>
        <w:rPr>
          <w:rFonts w:eastAsia="方正楷体_GBK"/>
          <w:b/>
          <w:bCs/>
        </w:rPr>
      </w:pPr>
      <w:bookmarkStart w:id="4" w:name="_Toc480812438"/>
      <w:bookmarkStart w:id="5" w:name="_Toc483496243"/>
      <w:r>
        <w:rPr>
          <w:rFonts w:eastAsia="方正楷体_GBK"/>
          <w:b/>
          <w:bCs/>
        </w:rPr>
        <w:t>第二节  面临形势</w:t>
      </w:r>
      <w:bookmarkEnd w:id="4"/>
      <w:bookmarkEnd w:id="5"/>
    </w:p>
    <w:p>
      <w:pPr>
        <w:spacing w:line="580" w:lineRule="exact"/>
        <w:jc w:val="center"/>
        <w:rPr>
          <w:rFonts w:eastAsia="楷体_GB2312"/>
          <w:b/>
          <w:szCs w:val="20"/>
        </w:rPr>
      </w:pPr>
    </w:p>
    <w:p>
      <w:pPr>
        <w:spacing w:line="560" w:lineRule="exact"/>
        <w:ind w:firstLine="640" w:firstLineChars="200"/>
      </w:pPr>
      <w:r>
        <w:t>“十三五”时期，我市农业和农村处于经济发展新常态下转折转型的关键期，发展的内外部环境更加错综复杂，既存在发展的机遇和空间进一步拓展、发展动力更加多元化的有利条件，也面临部分农产品供求结构性失衡、农业资源环境约束趋紧等困难和挑战。</w:t>
      </w:r>
    </w:p>
    <w:p>
      <w:pPr>
        <w:spacing w:line="560" w:lineRule="exact"/>
        <w:ind w:firstLine="640" w:firstLineChars="200"/>
      </w:pPr>
      <w:bookmarkStart w:id="6" w:name="_Toc480812439"/>
      <w:bookmarkStart w:id="7" w:name="_Toc483496244"/>
      <w:bookmarkStart w:id="8" w:name="_Toc480794186"/>
      <w:r>
        <w:t>有利条件。</w:t>
      </w:r>
      <w:bookmarkEnd w:id="6"/>
      <w:bookmarkEnd w:id="7"/>
      <w:bookmarkEnd w:id="8"/>
      <w:r>
        <w:t>一是“十三五”期间，我省深入实施四大国家战略规划，加快融入“一带一路”战略，更加有利于农业农村争取国家给予更多政策支持，开拓新的市场和发展空间。二是我市经济社会快速发展，财政实力不断增强，新型城镇化加快推进，农民转移就业空间进一步拓展，更加有利于增强以工促农、以城带乡的综合带动能力。三是新一轮科技革命和产业革命蓄势待发，新主体、新技术、新产品、新业态不断涌现，更加有利于厚植农业农村发展优势，促进农村一二三产业融合发展，推动农业转型升级。四是农业新型经营主体培育政策不断完善，对农村创新创业的支持力度不断加大，更加有利于提升农业的规模化、组织化、产业化水平，加快现代农业发展步伐。五是农村改革持续推进，农业政策体系日趋完善，更加有利于盘活农村资产资源，注入新的发展要素，激发发展潜力，释放活力动力。</w:t>
      </w:r>
    </w:p>
    <w:p>
      <w:pPr>
        <w:spacing w:line="560" w:lineRule="exact"/>
        <w:ind w:firstLine="640" w:firstLineChars="200"/>
      </w:pPr>
      <w:bookmarkStart w:id="9" w:name="_Toc480794187"/>
      <w:bookmarkStart w:id="10" w:name="_Toc483496245"/>
      <w:bookmarkStart w:id="11" w:name="_Toc480812440"/>
      <w:r>
        <w:t>面临挑战。</w:t>
      </w:r>
      <w:bookmarkEnd w:id="9"/>
      <w:bookmarkEnd w:id="10"/>
      <w:bookmarkEnd w:id="11"/>
      <w:r>
        <w:t>一是可持续发展难度加大。近年来，在一系列强农惠农政策的刺激下，农业生产取得了连年丰收，优惠政策带来的红利已基本释放。但农业基础设施建设薄弱，农业投入总量不足，农业科技不到位，仍是制约农业可持续发展的突出问题。再加上气候因素的不确定性，可能对农业生产造成不利影响。二是农业产业化水平仍偏低，农业产业结构有待调整。龙头企业带动作用和效益有待加强，深加工龙头企业仍然欠缺，带动当地农产品消化的能力有限。由于现阶段主要以粗加工简单生产为主，消耗本地农产品资源不多，附加值低。三是农产品缺乏品牌效益。主要表现在品牌不够响亮，市场不够宽阔，销售量不大，质优价高的农产品量小、品质单一，销售难，增收效益不明显。四是行业协会较少，涉农的行业协会和中介组织规模小，会员规模不大，日常工作以协调销售为主，在行业组织、管理及技术交流和产品推广等方面发挥作用较小。五是政府支持农业的政策空间逐渐缩小。政府连续多年对农民种粮进行各种补贴，但增长的幅度不大，在政策上支持农民增收的空间有限。这样，由政策刺激农民大幅度增加收入的空间将降低。六是随着经济发展进入新常态，农产品价格提升空间较为有限，依靠转移就业促进农民收入增长的空间收窄，家庭经营收入和工资性收入增速放缓，农民持续增收难度加大的问题日益凸显。同时，全市还有30.96万农村贫困人口，脱贫任务繁重，确保如期实现全面小康十分艰巨。</w:t>
      </w:r>
    </w:p>
    <w:p>
      <w:pPr>
        <w:spacing w:line="560" w:lineRule="exact"/>
        <w:ind w:firstLine="640" w:firstLineChars="200"/>
      </w:pPr>
      <w:r>
        <w:t>总的来看，“十三五”时期，我市农业农村发展仍处于破瓶颈补短板、大有作为的重要战略机遇期， 必须紧紧围绕全面建成小康社会的目标要求，坚持问题导向，不断创新工作思路，落实发展新理念，破解发展难题，努力开创农业农村经济发展新局面。</w:t>
      </w:r>
    </w:p>
    <w:p>
      <w:pPr>
        <w:keepNext/>
        <w:keepLines/>
        <w:spacing w:line="580" w:lineRule="exact"/>
        <w:ind w:firstLine="640" w:firstLineChars="200"/>
        <w:jc w:val="center"/>
        <w:outlineLvl w:val="0"/>
        <w:rPr>
          <w:rFonts w:eastAsia="黑体"/>
          <w:kern w:val="44"/>
        </w:rPr>
      </w:pPr>
      <w:bookmarkStart w:id="12" w:name="_Toc480812441"/>
      <w:r>
        <w:br w:type="page"/>
      </w:r>
      <w:bookmarkStart w:id="13" w:name="_Toc483496246"/>
      <w:r>
        <w:rPr>
          <w:rFonts w:eastAsia="黑体"/>
          <w:kern w:val="44"/>
        </w:rPr>
        <w:t>第二章  总体要求</w:t>
      </w:r>
      <w:bookmarkEnd w:id="12"/>
      <w:bookmarkEnd w:id="13"/>
    </w:p>
    <w:p>
      <w:pPr>
        <w:spacing w:line="580" w:lineRule="exact"/>
        <w:rPr>
          <w:rFonts w:eastAsia="仿宋_GB2312"/>
          <w:szCs w:val="20"/>
        </w:rPr>
      </w:pPr>
    </w:p>
    <w:p>
      <w:pPr>
        <w:keepNext/>
        <w:keepLines/>
        <w:spacing w:line="580" w:lineRule="exact"/>
        <w:jc w:val="center"/>
        <w:outlineLvl w:val="1"/>
        <w:rPr>
          <w:rFonts w:eastAsia="方正楷体_GBK"/>
          <w:b/>
          <w:bCs/>
        </w:rPr>
      </w:pPr>
      <w:bookmarkStart w:id="14" w:name="_Toc480812442"/>
      <w:bookmarkStart w:id="15" w:name="_Toc483496247"/>
      <w:r>
        <w:rPr>
          <w:rFonts w:eastAsia="方正楷体_GBK"/>
          <w:b/>
          <w:bCs/>
        </w:rPr>
        <w:t>第一节  指导思想</w:t>
      </w:r>
      <w:bookmarkEnd w:id="14"/>
      <w:bookmarkEnd w:id="15"/>
    </w:p>
    <w:p>
      <w:pPr>
        <w:spacing w:line="580" w:lineRule="exact"/>
        <w:jc w:val="center"/>
        <w:rPr>
          <w:rFonts w:eastAsia="楷体_GB2312"/>
          <w:b/>
          <w:szCs w:val="20"/>
        </w:rPr>
      </w:pPr>
    </w:p>
    <w:p>
      <w:pPr>
        <w:spacing w:line="580" w:lineRule="exact"/>
        <w:ind w:firstLine="624"/>
      </w:pPr>
      <w:r>
        <w:t>全面贯彻党的十八大和十八届三中、四中、五中、六中全会精神，牢固树立创新、协调、绿色、开放、共享的发展理念，围绕现代农业建设，以推进农业供给侧结构性改革为主线，推动粮经饲统筹、农林牧渔结合、种养加一体、一二三产业融合发展，加快转变农业发展方式，保障农产品有效供给、农民持续增收和农业可持续发展，走产出高效、产品安全、资源节约、环境友好的农业现代化道路，实现农业农村现代化与工业化、信息化、城镇化同步推进，打好精准脱贫攻坚战，确保如期实现全面建成小康社会目标。</w:t>
      </w:r>
    </w:p>
    <w:p>
      <w:pPr>
        <w:spacing w:line="580" w:lineRule="exact"/>
        <w:rPr>
          <w:rFonts w:eastAsia="仿宋_GB2312"/>
          <w:szCs w:val="20"/>
        </w:rPr>
      </w:pPr>
    </w:p>
    <w:p>
      <w:pPr>
        <w:keepNext/>
        <w:keepLines/>
        <w:spacing w:line="580" w:lineRule="exact"/>
        <w:jc w:val="center"/>
        <w:outlineLvl w:val="1"/>
        <w:rPr>
          <w:rFonts w:eastAsia="方正楷体_GBK"/>
          <w:b/>
          <w:bCs/>
        </w:rPr>
      </w:pPr>
      <w:bookmarkStart w:id="16" w:name="_Toc480812443"/>
      <w:bookmarkStart w:id="17" w:name="_Toc483496248"/>
      <w:r>
        <w:rPr>
          <w:rFonts w:eastAsia="方正楷体_GBK"/>
          <w:b/>
          <w:bCs/>
        </w:rPr>
        <w:t>第二节  基本原则</w:t>
      </w:r>
      <w:bookmarkEnd w:id="16"/>
      <w:bookmarkEnd w:id="17"/>
    </w:p>
    <w:p>
      <w:pPr>
        <w:spacing w:line="580" w:lineRule="exact"/>
        <w:jc w:val="center"/>
        <w:rPr>
          <w:rFonts w:eastAsia="楷体_GB2312"/>
          <w:b/>
          <w:szCs w:val="20"/>
        </w:rPr>
      </w:pPr>
    </w:p>
    <w:p>
      <w:pPr>
        <w:spacing w:line="580" w:lineRule="exact"/>
        <w:ind w:firstLine="624"/>
      </w:pPr>
      <w:r>
        <w:t>坚持创新强农。把创新发展作为第一动力，着力推进供给创新、科技创新和体制机制创新，加快实施藏粮于地、藏粮于技战略和科技创新驱动战略，培育更健康、更可持续的增长动力，促进农业供给体系由中低端向中高端迈进、农业发展方式由粗放向集约转变。</w:t>
      </w:r>
    </w:p>
    <w:p>
      <w:pPr>
        <w:spacing w:line="580" w:lineRule="exact"/>
        <w:ind w:firstLine="624"/>
      </w:pPr>
      <w:r>
        <w:t>坚持协调惠农。把协调发展作为内在要求，着力推进产业融合、城乡统筹、主体协同，加快形成内部协调、与经济社会发展和资源环境承载力相适应的农业产业布局，用新型工业化、信息化、城镇化的成果拉动农业现代化，推动城镇基础设施和公共服务向农村延伸，引导资金、技术、人才、管理等现代要素向农业农村流动，促进农业农村发展水平整体跃升。</w:t>
      </w:r>
    </w:p>
    <w:p>
      <w:pPr>
        <w:spacing w:line="580" w:lineRule="exact"/>
        <w:ind w:firstLine="624"/>
      </w:pPr>
      <w:r>
        <w:t>坚持绿色兴农。把绿色发展作为必要条件，坚定绿水青山就是金山银山的观念，强化农村生态产品供给功能，把山水林田湖作为一个生命共同体统筹谋划，推进农业发展绿色化，补齐生态建设和质量安全短板，实现资源利用高效、生态系统稳定、产地环境良好、产品质量安全。</w:t>
      </w:r>
    </w:p>
    <w:p>
      <w:pPr>
        <w:spacing w:line="580" w:lineRule="exact"/>
        <w:ind w:firstLine="624"/>
      </w:pPr>
      <w:r>
        <w:t>坚持开放助农。把开放发展作为必由之路，坚持双向开放、合作共赢、共同发展，积极主动融入“一带一路”战略，统筹用好国际国内两个市场两种资源，扩大特色优势农产品出口，拓展农业农村发展战略空间，提升农业对外开放层次和水平。</w:t>
      </w:r>
    </w:p>
    <w:p>
      <w:pPr>
        <w:spacing w:line="580" w:lineRule="exact"/>
        <w:ind w:firstLine="624"/>
      </w:pPr>
      <w:r>
        <w:t>坚持共享富农。把共享发展作为根本目的，坚持以增进农民福祉为目的，加快发展农村社会事业，完善农村基础设施和公共服务，逐步实现城乡制度并轨、标准统一。坚决打赢脱贫攻坚战，不断提高农村居民生活质量和水平。</w:t>
      </w:r>
    </w:p>
    <w:p>
      <w:pPr>
        <w:spacing w:line="580" w:lineRule="exact"/>
        <w:rPr>
          <w:rFonts w:eastAsia="楷体_GB2312"/>
          <w:b/>
          <w:szCs w:val="20"/>
        </w:rPr>
      </w:pPr>
    </w:p>
    <w:p>
      <w:pPr>
        <w:keepNext/>
        <w:keepLines/>
        <w:spacing w:line="580" w:lineRule="exact"/>
        <w:jc w:val="center"/>
        <w:outlineLvl w:val="1"/>
        <w:rPr>
          <w:rFonts w:eastAsia="方正楷体_GBK"/>
          <w:b/>
          <w:bCs/>
        </w:rPr>
      </w:pPr>
      <w:bookmarkStart w:id="18" w:name="_Toc480812444"/>
      <w:bookmarkStart w:id="19" w:name="_Toc483496249"/>
      <w:r>
        <w:rPr>
          <w:rFonts w:eastAsia="方正楷体_GBK"/>
          <w:b/>
          <w:bCs/>
        </w:rPr>
        <w:t>第三节  发展目标</w:t>
      </w:r>
      <w:bookmarkEnd w:id="18"/>
      <w:bookmarkEnd w:id="19"/>
    </w:p>
    <w:p>
      <w:pPr>
        <w:spacing w:line="580" w:lineRule="exact"/>
        <w:jc w:val="center"/>
        <w:rPr>
          <w:rFonts w:eastAsia="楷体_GB2312"/>
          <w:b/>
          <w:szCs w:val="20"/>
        </w:rPr>
      </w:pPr>
    </w:p>
    <w:p>
      <w:pPr>
        <w:spacing w:line="580" w:lineRule="exact"/>
        <w:ind w:firstLine="624"/>
      </w:pPr>
      <w:r>
        <w:t>到2020年，现代农业发展取得明显进展，农产品供给体系质量和效率显著提高，农民生活达到全面小康水平，基本完成粮食生产核心区建设任务，基本实现农业现代化。</w:t>
      </w:r>
    </w:p>
    <w:p>
      <w:pPr>
        <w:spacing w:line="580" w:lineRule="exact"/>
        <w:ind w:firstLine="624"/>
      </w:pPr>
      <w:r>
        <w:t xml:space="preserve">——粮食等主要农产品有效供给能力稳步提高。一是稳定粮食种植面积，确保全市粮食种植面积稳定在900万亩以上，其中水稻种植面积稳定在500万亩以上、小麦种植面积稳定在400万亩以上。粮食综合生产能力稳定在85亿斤以上，肉类、禽蛋、奶类和水产品产量分别达到 68.9万吨、 29.14万吨、0.27万吨和 28.2万吨。油料、蔬菜、水果和水产品等其它农产品供应能力不断增强，主要农产品供给结构更加合理。二是扎实推进高标准粮田建设，主要农作物良种覆盖率达到98%以上。通过对涉农资金项目进行有效整合，到2020年，全市累计建成高标准粮田458万亩。   </w:t>
      </w:r>
    </w:p>
    <w:p>
      <w:pPr>
        <w:spacing w:line="580" w:lineRule="exact"/>
        <w:ind w:firstLine="624"/>
      </w:pPr>
      <w:r>
        <w:t>——现代农业发展效率和水平明显提升。畜牧业产值占农业总产值比重达到 40%左右，主要农作物耕种收综合机械化水平达到 75%以上，农业灌溉用水有效利用系数达到 0.60，农产品加工转化率达到 50%左右、加工增值率提高到1∶3左右，全市65%  以上的农户从产业融合发展中直接受益。</w:t>
      </w:r>
    </w:p>
    <w:p>
      <w:pPr>
        <w:spacing w:line="580" w:lineRule="exact"/>
        <w:ind w:firstLine="624"/>
      </w:pPr>
      <w:r>
        <w:t>——农业生态和农村人居环境显著改善。森林覆盖率达到 38%，森林蓄积量达到 0.36亿立方米。农业环境突出问题治理取得明显成效，资源保障能力不断增强。农村供水、供电、道路、通信、住房等基础设施和公共服务水平显著提升， 60%以上的中心村和特色村达到美丽宜居村庄要求， 85%左右的乡镇面貌大为改观。</w:t>
      </w:r>
    </w:p>
    <w:p>
      <w:pPr>
        <w:spacing w:line="580" w:lineRule="exact"/>
        <w:ind w:firstLine="624"/>
      </w:pPr>
      <w:r>
        <w:t>——农民生活水平和质量普遍提高。城乡收入差距继续缩小，农民人均可支配收入达到 10828元，比2010年翻一番，现行标准下30.96万农村贫困人口稳定脱贫， 7个贫困县（区） 2019   年前全部脱帽，确保如期实现全面建成小康社会的目标。</w:t>
      </w:r>
    </w:p>
    <w:tbl>
      <w:tblPr>
        <w:tblStyle w:val="3"/>
        <w:tblW w:w="875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4394"/>
        <w:gridCol w:w="1276"/>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8755" w:type="dxa"/>
            <w:gridSpan w:val="5"/>
            <w:vAlign w:val="center"/>
          </w:tcPr>
          <w:p>
            <w:pPr>
              <w:spacing w:line="440" w:lineRule="exact"/>
              <w:rPr>
                <w:rFonts w:eastAsia="黑体"/>
                <w:sz w:val="30"/>
                <w:szCs w:val="30"/>
              </w:rPr>
            </w:pPr>
            <w:r>
              <w:rPr>
                <w:rFonts w:eastAsia="黑体"/>
                <w:bCs/>
              </w:rPr>
              <w:t>专栏2  “十三五”发展主要指标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17" w:type="dxa"/>
            <w:vAlign w:val="center"/>
          </w:tcPr>
          <w:p>
            <w:pPr>
              <w:spacing w:line="440" w:lineRule="exact"/>
              <w:jc w:val="center"/>
              <w:rPr>
                <w:rFonts w:eastAsia="黑体"/>
                <w:sz w:val="24"/>
                <w:szCs w:val="20"/>
              </w:rPr>
            </w:pPr>
            <w:r>
              <w:rPr>
                <w:rFonts w:eastAsia="黑体"/>
                <w:sz w:val="24"/>
                <w:szCs w:val="20"/>
              </w:rPr>
              <w:t>类别</w:t>
            </w:r>
          </w:p>
        </w:tc>
        <w:tc>
          <w:tcPr>
            <w:tcW w:w="4394" w:type="dxa"/>
            <w:tcBorders>
              <w:bottom w:val="single" w:color="auto" w:sz="4" w:space="0"/>
            </w:tcBorders>
            <w:vAlign w:val="center"/>
          </w:tcPr>
          <w:p>
            <w:pPr>
              <w:spacing w:line="440" w:lineRule="exact"/>
              <w:jc w:val="center"/>
              <w:rPr>
                <w:rFonts w:eastAsia="黑体"/>
                <w:sz w:val="24"/>
                <w:szCs w:val="20"/>
              </w:rPr>
            </w:pPr>
            <w:r>
              <w:rPr>
                <w:rFonts w:eastAsia="黑体"/>
                <w:sz w:val="24"/>
                <w:szCs w:val="20"/>
              </w:rPr>
              <w:t>指标</w:t>
            </w:r>
          </w:p>
        </w:tc>
        <w:tc>
          <w:tcPr>
            <w:tcW w:w="1276" w:type="dxa"/>
            <w:vAlign w:val="center"/>
          </w:tcPr>
          <w:p>
            <w:pPr>
              <w:spacing w:line="440" w:lineRule="exact"/>
              <w:jc w:val="center"/>
              <w:rPr>
                <w:rFonts w:eastAsia="黑体"/>
                <w:sz w:val="24"/>
                <w:szCs w:val="20"/>
              </w:rPr>
            </w:pPr>
            <w:r>
              <w:rPr>
                <w:rFonts w:eastAsia="黑体"/>
                <w:sz w:val="24"/>
                <w:szCs w:val="20"/>
              </w:rPr>
              <w:t>2015年</w:t>
            </w:r>
          </w:p>
          <w:p>
            <w:pPr>
              <w:spacing w:line="440" w:lineRule="exact"/>
              <w:jc w:val="center"/>
              <w:rPr>
                <w:rFonts w:eastAsia="黑体"/>
                <w:sz w:val="24"/>
                <w:szCs w:val="20"/>
              </w:rPr>
            </w:pPr>
            <w:r>
              <w:rPr>
                <w:rFonts w:eastAsia="黑体"/>
                <w:sz w:val="24"/>
                <w:szCs w:val="20"/>
              </w:rPr>
              <w:t>基数值</w:t>
            </w:r>
          </w:p>
        </w:tc>
        <w:tc>
          <w:tcPr>
            <w:tcW w:w="1276" w:type="dxa"/>
            <w:vAlign w:val="center"/>
          </w:tcPr>
          <w:p>
            <w:pPr>
              <w:spacing w:line="440" w:lineRule="exact"/>
              <w:jc w:val="center"/>
              <w:rPr>
                <w:rFonts w:eastAsia="黑体"/>
                <w:sz w:val="24"/>
                <w:szCs w:val="20"/>
              </w:rPr>
            </w:pPr>
            <w:r>
              <w:rPr>
                <w:rFonts w:eastAsia="黑体"/>
                <w:sz w:val="24"/>
                <w:szCs w:val="20"/>
              </w:rPr>
              <w:t>2020年</w:t>
            </w:r>
          </w:p>
          <w:p>
            <w:pPr>
              <w:spacing w:line="440" w:lineRule="exact"/>
              <w:jc w:val="center"/>
              <w:rPr>
                <w:rFonts w:eastAsia="黑体"/>
                <w:sz w:val="24"/>
                <w:szCs w:val="20"/>
              </w:rPr>
            </w:pPr>
            <w:r>
              <w:rPr>
                <w:rFonts w:eastAsia="黑体"/>
                <w:sz w:val="24"/>
                <w:szCs w:val="20"/>
              </w:rPr>
              <w:t>目标值</w:t>
            </w:r>
          </w:p>
        </w:tc>
        <w:tc>
          <w:tcPr>
            <w:tcW w:w="992" w:type="dxa"/>
            <w:vAlign w:val="center"/>
          </w:tcPr>
          <w:p>
            <w:pPr>
              <w:spacing w:line="440" w:lineRule="exact"/>
              <w:jc w:val="center"/>
              <w:rPr>
                <w:rFonts w:eastAsia="黑体"/>
                <w:sz w:val="24"/>
                <w:szCs w:val="20"/>
              </w:rPr>
            </w:pPr>
            <w:r>
              <w:rPr>
                <w:rFonts w:eastAsia="黑体"/>
                <w:sz w:val="24"/>
                <w:szCs w:val="2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restart"/>
            <w:vAlign w:val="center"/>
          </w:tcPr>
          <w:p>
            <w:pPr>
              <w:spacing w:line="440" w:lineRule="exact"/>
              <w:jc w:val="center"/>
              <w:rPr>
                <w:sz w:val="24"/>
                <w:szCs w:val="20"/>
              </w:rPr>
            </w:pPr>
            <w:r>
              <w:rPr>
                <w:sz w:val="24"/>
                <w:szCs w:val="20"/>
              </w:rPr>
              <w:t>生产</w:t>
            </w:r>
          </w:p>
          <w:p>
            <w:pPr>
              <w:spacing w:line="440" w:lineRule="exact"/>
              <w:jc w:val="center"/>
              <w:rPr>
                <w:sz w:val="24"/>
                <w:szCs w:val="20"/>
              </w:rPr>
            </w:pPr>
            <w:r>
              <w:rPr>
                <w:sz w:val="24"/>
                <w:szCs w:val="20"/>
              </w:rPr>
              <w:t>能力</w:t>
            </w:r>
          </w:p>
        </w:tc>
        <w:tc>
          <w:tcPr>
            <w:tcW w:w="4394" w:type="dxa"/>
            <w:vAlign w:val="center"/>
          </w:tcPr>
          <w:p>
            <w:pPr>
              <w:spacing w:line="440" w:lineRule="exact"/>
              <w:jc w:val="center"/>
              <w:rPr>
                <w:sz w:val="24"/>
                <w:szCs w:val="20"/>
              </w:rPr>
            </w:pPr>
            <w:r>
              <w:rPr>
                <w:sz w:val="24"/>
                <w:szCs w:val="20"/>
              </w:rPr>
              <w:t>耕地保有量（万公顷）</w:t>
            </w:r>
          </w:p>
        </w:tc>
        <w:tc>
          <w:tcPr>
            <w:tcW w:w="1276" w:type="dxa"/>
            <w:vAlign w:val="center"/>
          </w:tcPr>
          <w:p>
            <w:pPr>
              <w:spacing w:line="440" w:lineRule="exact"/>
              <w:jc w:val="center"/>
              <w:rPr>
                <w:sz w:val="24"/>
                <w:szCs w:val="20"/>
              </w:rPr>
            </w:pPr>
            <w:r>
              <w:rPr>
                <w:sz w:val="24"/>
                <w:szCs w:val="20"/>
              </w:rPr>
              <w:t>63.7098</w:t>
            </w:r>
          </w:p>
        </w:tc>
        <w:tc>
          <w:tcPr>
            <w:tcW w:w="1276" w:type="dxa"/>
            <w:vAlign w:val="center"/>
          </w:tcPr>
          <w:p>
            <w:pPr>
              <w:spacing w:line="440" w:lineRule="exact"/>
              <w:jc w:val="center"/>
              <w:rPr>
                <w:sz w:val="24"/>
                <w:szCs w:val="20"/>
              </w:rPr>
            </w:pPr>
            <w:r>
              <w:rPr>
                <w:kern w:val="0"/>
                <w:sz w:val="24"/>
                <w:szCs w:val="20"/>
              </w:rPr>
              <w:t>82.7094</w:t>
            </w:r>
          </w:p>
        </w:tc>
        <w:tc>
          <w:tcPr>
            <w:tcW w:w="992" w:type="dxa"/>
            <w:vAlign w:val="center"/>
          </w:tcPr>
          <w:p>
            <w:pPr>
              <w:spacing w:line="440" w:lineRule="exact"/>
              <w:jc w:val="center"/>
              <w:rPr>
                <w:sz w:val="24"/>
                <w:szCs w:val="20"/>
              </w:rPr>
            </w:pPr>
            <w:r>
              <w:rPr>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粮食综合生产能力（万吨）</w:t>
            </w:r>
          </w:p>
        </w:tc>
        <w:tc>
          <w:tcPr>
            <w:tcW w:w="1276" w:type="dxa"/>
            <w:vAlign w:val="center"/>
          </w:tcPr>
          <w:p>
            <w:pPr>
              <w:spacing w:line="440" w:lineRule="exact"/>
              <w:jc w:val="center"/>
              <w:rPr>
                <w:sz w:val="24"/>
                <w:szCs w:val="20"/>
              </w:rPr>
            </w:pPr>
            <w:r>
              <w:rPr>
                <w:sz w:val="24"/>
                <w:szCs w:val="20"/>
              </w:rPr>
              <w:t>474.42</w:t>
            </w:r>
          </w:p>
        </w:tc>
        <w:tc>
          <w:tcPr>
            <w:tcW w:w="1276" w:type="dxa"/>
            <w:vAlign w:val="center"/>
          </w:tcPr>
          <w:p>
            <w:pPr>
              <w:spacing w:line="440" w:lineRule="exact"/>
              <w:jc w:val="center"/>
              <w:rPr>
                <w:sz w:val="24"/>
                <w:szCs w:val="20"/>
              </w:rPr>
            </w:pPr>
            <w:r>
              <w:rPr>
                <w:sz w:val="24"/>
                <w:szCs w:val="20"/>
              </w:rPr>
              <w:t>425</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肉类总产量（万吨）</w:t>
            </w:r>
          </w:p>
        </w:tc>
        <w:tc>
          <w:tcPr>
            <w:tcW w:w="1276" w:type="dxa"/>
            <w:vAlign w:val="center"/>
          </w:tcPr>
          <w:p>
            <w:pPr>
              <w:spacing w:line="440" w:lineRule="exact"/>
              <w:jc w:val="center"/>
              <w:rPr>
                <w:sz w:val="24"/>
                <w:szCs w:val="20"/>
              </w:rPr>
            </w:pPr>
            <w:r>
              <w:rPr>
                <w:sz w:val="24"/>
                <w:szCs w:val="20"/>
              </w:rPr>
              <w:t>50.14</w:t>
            </w:r>
          </w:p>
        </w:tc>
        <w:tc>
          <w:tcPr>
            <w:tcW w:w="1276" w:type="dxa"/>
            <w:vAlign w:val="center"/>
          </w:tcPr>
          <w:p>
            <w:pPr>
              <w:spacing w:line="440" w:lineRule="exact"/>
              <w:jc w:val="center"/>
              <w:rPr>
                <w:sz w:val="24"/>
                <w:szCs w:val="20"/>
              </w:rPr>
            </w:pPr>
            <w:r>
              <w:rPr>
                <w:sz w:val="24"/>
                <w:szCs w:val="20"/>
              </w:rPr>
              <w:t>68.90</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禽蛋产量（万吨）</w:t>
            </w:r>
          </w:p>
        </w:tc>
        <w:tc>
          <w:tcPr>
            <w:tcW w:w="1276" w:type="dxa"/>
            <w:vAlign w:val="center"/>
          </w:tcPr>
          <w:p>
            <w:pPr>
              <w:spacing w:line="440" w:lineRule="exact"/>
              <w:jc w:val="center"/>
              <w:rPr>
                <w:sz w:val="24"/>
                <w:szCs w:val="20"/>
              </w:rPr>
            </w:pPr>
            <w:r>
              <w:rPr>
                <w:sz w:val="24"/>
                <w:szCs w:val="20"/>
              </w:rPr>
              <w:t>19.03</w:t>
            </w:r>
          </w:p>
        </w:tc>
        <w:tc>
          <w:tcPr>
            <w:tcW w:w="1276" w:type="dxa"/>
            <w:vAlign w:val="center"/>
          </w:tcPr>
          <w:p>
            <w:pPr>
              <w:spacing w:line="440" w:lineRule="exact"/>
              <w:jc w:val="center"/>
              <w:rPr>
                <w:sz w:val="24"/>
                <w:szCs w:val="20"/>
              </w:rPr>
            </w:pPr>
            <w:r>
              <w:rPr>
                <w:sz w:val="24"/>
                <w:szCs w:val="20"/>
              </w:rPr>
              <w:t>29.14</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奶类产量（万吨）</w:t>
            </w:r>
          </w:p>
        </w:tc>
        <w:tc>
          <w:tcPr>
            <w:tcW w:w="1276" w:type="dxa"/>
            <w:vAlign w:val="center"/>
          </w:tcPr>
          <w:p>
            <w:pPr>
              <w:spacing w:line="440" w:lineRule="exact"/>
              <w:jc w:val="center"/>
              <w:rPr>
                <w:sz w:val="24"/>
                <w:szCs w:val="20"/>
              </w:rPr>
            </w:pPr>
            <w:r>
              <w:rPr>
                <w:sz w:val="24"/>
                <w:szCs w:val="20"/>
              </w:rPr>
              <w:t>0.20</w:t>
            </w:r>
          </w:p>
        </w:tc>
        <w:tc>
          <w:tcPr>
            <w:tcW w:w="1276" w:type="dxa"/>
            <w:vAlign w:val="center"/>
          </w:tcPr>
          <w:p>
            <w:pPr>
              <w:spacing w:line="440" w:lineRule="exact"/>
              <w:jc w:val="center"/>
              <w:rPr>
                <w:sz w:val="24"/>
                <w:szCs w:val="20"/>
              </w:rPr>
            </w:pPr>
            <w:r>
              <w:rPr>
                <w:sz w:val="24"/>
                <w:szCs w:val="20"/>
              </w:rPr>
              <w:t>0.27</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17" w:type="dxa"/>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水产品（万吨）</w:t>
            </w:r>
          </w:p>
        </w:tc>
        <w:tc>
          <w:tcPr>
            <w:tcW w:w="1276" w:type="dxa"/>
            <w:vAlign w:val="center"/>
          </w:tcPr>
          <w:p>
            <w:pPr>
              <w:spacing w:line="440" w:lineRule="exact"/>
              <w:jc w:val="center"/>
              <w:rPr>
                <w:sz w:val="24"/>
                <w:szCs w:val="20"/>
              </w:rPr>
            </w:pPr>
            <w:r>
              <w:rPr>
                <w:sz w:val="24"/>
                <w:szCs w:val="20"/>
              </w:rPr>
              <w:t>26.87</w:t>
            </w:r>
          </w:p>
        </w:tc>
        <w:tc>
          <w:tcPr>
            <w:tcW w:w="1276" w:type="dxa"/>
            <w:vAlign w:val="center"/>
          </w:tcPr>
          <w:p>
            <w:pPr>
              <w:spacing w:line="440" w:lineRule="exact"/>
              <w:jc w:val="center"/>
              <w:rPr>
                <w:sz w:val="24"/>
                <w:szCs w:val="20"/>
              </w:rPr>
            </w:pPr>
            <w:r>
              <w:rPr>
                <w:sz w:val="24"/>
                <w:szCs w:val="20"/>
              </w:rPr>
              <w:t>28.2</w:t>
            </w:r>
          </w:p>
        </w:tc>
        <w:tc>
          <w:tcPr>
            <w:tcW w:w="992" w:type="dxa"/>
            <w:vAlign w:val="center"/>
          </w:tcPr>
          <w:p>
            <w:pPr>
              <w:spacing w:line="440" w:lineRule="exact"/>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restart"/>
            <w:vAlign w:val="center"/>
          </w:tcPr>
          <w:p>
            <w:pPr>
              <w:spacing w:line="440" w:lineRule="exact"/>
              <w:jc w:val="center"/>
              <w:rPr>
                <w:sz w:val="24"/>
                <w:szCs w:val="20"/>
              </w:rPr>
            </w:pPr>
            <w:r>
              <w:rPr>
                <w:sz w:val="24"/>
                <w:szCs w:val="20"/>
              </w:rPr>
              <w:t>发展</w:t>
            </w:r>
          </w:p>
          <w:p>
            <w:pPr>
              <w:spacing w:line="440" w:lineRule="exact"/>
              <w:jc w:val="center"/>
              <w:rPr>
                <w:sz w:val="24"/>
                <w:szCs w:val="20"/>
              </w:rPr>
            </w:pPr>
            <w:r>
              <w:rPr>
                <w:sz w:val="24"/>
                <w:szCs w:val="20"/>
              </w:rPr>
              <w:t>水平</w:t>
            </w:r>
          </w:p>
        </w:tc>
        <w:tc>
          <w:tcPr>
            <w:tcW w:w="4394" w:type="dxa"/>
            <w:vAlign w:val="center"/>
          </w:tcPr>
          <w:p>
            <w:pPr>
              <w:spacing w:line="440" w:lineRule="exact"/>
              <w:jc w:val="center"/>
              <w:rPr>
                <w:sz w:val="24"/>
                <w:szCs w:val="20"/>
              </w:rPr>
            </w:pPr>
            <w:r>
              <w:rPr>
                <w:sz w:val="24"/>
                <w:szCs w:val="20"/>
              </w:rPr>
              <w:t>畜牧业产值占农业总产值的比重（%）</w:t>
            </w:r>
          </w:p>
        </w:tc>
        <w:tc>
          <w:tcPr>
            <w:tcW w:w="1276" w:type="dxa"/>
            <w:vAlign w:val="center"/>
          </w:tcPr>
          <w:p>
            <w:pPr>
              <w:spacing w:line="440" w:lineRule="exact"/>
              <w:jc w:val="center"/>
              <w:rPr>
                <w:sz w:val="24"/>
                <w:szCs w:val="20"/>
              </w:rPr>
            </w:pPr>
            <w:r>
              <w:rPr>
                <w:sz w:val="24"/>
                <w:szCs w:val="20"/>
              </w:rPr>
              <w:t>24.79</w:t>
            </w:r>
          </w:p>
        </w:tc>
        <w:tc>
          <w:tcPr>
            <w:tcW w:w="1276" w:type="dxa"/>
            <w:vAlign w:val="center"/>
          </w:tcPr>
          <w:p>
            <w:pPr>
              <w:spacing w:line="440" w:lineRule="exact"/>
              <w:jc w:val="center"/>
              <w:rPr>
                <w:sz w:val="24"/>
                <w:szCs w:val="20"/>
              </w:rPr>
            </w:pPr>
            <w:r>
              <w:rPr>
                <w:sz w:val="24"/>
                <w:szCs w:val="20"/>
              </w:rPr>
              <w:t>40</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主要农作物耕种收综合机械化水平（%）</w:t>
            </w:r>
          </w:p>
        </w:tc>
        <w:tc>
          <w:tcPr>
            <w:tcW w:w="1276" w:type="dxa"/>
            <w:vAlign w:val="center"/>
          </w:tcPr>
          <w:p>
            <w:pPr>
              <w:spacing w:line="440" w:lineRule="exact"/>
              <w:jc w:val="center"/>
              <w:rPr>
                <w:sz w:val="24"/>
                <w:szCs w:val="20"/>
              </w:rPr>
            </w:pPr>
            <w:r>
              <w:rPr>
                <w:sz w:val="24"/>
                <w:szCs w:val="20"/>
              </w:rPr>
              <w:t>68</w:t>
            </w:r>
          </w:p>
        </w:tc>
        <w:tc>
          <w:tcPr>
            <w:tcW w:w="1276" w:type="dxa"/>
            <w:vAlign w:val="center"/>
          </w:tcPr>
          <w:p>
            <w:pPr>
              <w:spacing w:line="440" w:lineRule="exact"/>
              <w:jc w:val="center"/>
              <w:rPr>
                <w:sz w:val="24"/>
                <w:szCs w:val="20"/>
              </w:rPr>
            </w:pPr>
            <w:r>
              <w:rPr>
                <w:sz w:val="24"/>
                <w:szCs w:val="20"/>
              </w:rPr>
              <w:t>75</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农产品加工转化率（%）</w:t>
            </w:r>
          </w:p>
        </w:tc>
        <w:tc>
          <w:tcPr>
            <w:tcW w:w="1276" w:type="dxa"/>
            <w:vAlign w:val="center"/>
          </w:tcPr>
          <w:p>
            <w:pPr>
              <w:spacing w:line="440" w:lineRule="exact"/>
              <w:jc w:val="center"/>
              <w:rPr>
                <w:sz w:val="24"/>
                <w:szCs w:val="20"/>
              </w:rPr>
            </w:pPr>
            <w:r>
              <w:rPr>
                <w:sz w:val="24"/>
                <w:szCs w:val="20"/>
              </w:rPr>
              <w:t>40</w:t>
            </w:r>
          </w:p>
        </w:tc>
        <w:tc>
          <w:tcPr>
            <w:tcW w:w="1276" w:type="dxa"/>
            <w:vAlign w:val="center"/>
          </w:tcPr>
          <w:p>
            <w:pPr>
              <w:spacing w:line="440" w:lineRule="exact"/>
              <w:jc w:val="center"/>
              <w:rPr>
                <w:sz w:val="24"/>
                <w:szCs w:val="20"/>
              </w:rPr>
            </w:pPr>
            <w:r>
              <w:rPr>
                <w:sz w:val="24"/>
                <w:szCs w:val="20"/>
              </w:rPr>
              <w:t>50</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农业灌溉用水有效利用系数</w:t>
            </w:r>
          </w:p>
        </w:tc>
        <w:tc>
          <w:tcPr>
            <w:tcW w:w="1276" w:type="dxa"/>
            <w:vAlign w:val="center"/>
          </w:tcPr>
          <w:p>
            <w:pPr>
              <w:spacing w:line="440" w:lineRule="exact"/>
              <w:jc w:val="center"/>
              <w:rPr>
                <w:sz w:val="24"/>
                <w:szCs w:val="20"/>
              </w:rPr>
            </w:pPr>
            <w:r>
              <w:rPr>
                <w:sz w:val="24"/>
                <w:szCs w:val="20"/>
              </w:rPr>
              <w:t>0.45</w:t>
            </w:r>
          </w:p>
        </w:tc>
        <w:tc>
          <w:tcPr>
            <w:tcW w:w="1276" w:type="dxa"/>
            <w:vAlign w:val="center"/>
          </w:tcPr>
          <w:p>
            <w:pPr>
              <w:spacing w:line="440" w:lineRule="exact"/>
              <w:jc w:val="center"/>
              <w:rPr>
                <w:sz w:val="24"/>
                <w:szCs w:val="20"/>
              </w:rPr>
            </w:pPr>
            <w:r>
              <w:rPr>
                <w:sz w:val="24"/>
                <w:szCs w:val="20"/>
              </w:rPr>
              <w:t>0.60</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restart"/>
            <w:vAlign w:val="center"/>
          </w:tcPr>
          <w:p>
            <w:pPr>
              <w:spacing w:line="440" w:lineRule="exact"/>
              <w:jc w:val="center"/>
              <w:rPr>
                <w:sz w:val="24"/>
                <w:szCs w:val="20"/>
              </w:rPr>
            </w:pPr>
            <w:r>
              <w:rPr>
                <w:sz w:val="24"/>
                <w:szCs w:val="20"/>
              </w:rPr>
              <w:t>生态</w:t>
            </w:r>
          </w:p>
          <w:p>
            <w:pPr>
              <w:spacing w:line="440" w:lineRule="exact"/>
              <w:jc w:val="center"/>
              <w:rPr>
                <w:sz w:val="24"/>
                <w:szCs w:val="20"/>
              </w:rPr>
            </w:pPr>
            <w:r>
              <w:rPr>
                <w:sz w:val="24"/>
                <w:szCs w:val="20"/>
              </w:rPr>
              <w:t>人居</w:t>
            </w:r>
          </w:p>
        </w:tc>
        <w:tc>
          <w:tcPr>
            <w:tcW w:w="4394" w:type="dxa"/>
            <w:vAlign w:val="center"/>
          </w:tcPr>
          <w:p>
            <w:pPr>
              <w:spacing w:line="440" w:lineRule="exact"/>
              <w:jc w:val="center"/>
              <w:rPr>
                <w:sz w:val="24"/>
                <w:szCs w:val="20"/>
              </w:rPr>
            </w:pPr>
            <w:r>
              <w:rPr>
                <w:sz w:val="24"/>
                <w:szCs w:val="20"/>
              </w:rPr>
              <w:t>森林覆盖率（%）</w:t>
            </w:r>
          </w:p>
        </w:tc>
        <w:tc>
          <w:tcPr>
            <w:tcW w:w="1276" w:type="dxa"/>
            <w:vAlign w:val="center"/>
          </w:tcPr>
          <w:p>
            <w:pPr>
              <w:spacing w:line="440" w:lineRule="exact"/>
              <w:jc w:val="center"/>
              <w:rPr>
                <w:sz w:val="24"/>
                <w:szCs w:val="20"/>
              </w:rPr>
            </w:pPr>
            <w:r>
              <w:rPr>
                <w:sz w:val="24"/>
                <w:szCs w:val="20"/>
              </w:rPr>
              <w:t>36.11</w:t>
            </w:r>
          </w:p>
        </w:tc>
        <w:tc>
          <w:tcPr>
            <w:tcW w:w="1276" w:type="dxa"/>
            <w:vAlign w:val="center"/>
          </w:tcPr>
          <w:p>
            <w:pPr>
              <w:spacing w:line="440" w:lineRule="exact"/>
              <w:jc w:val="center"/>
              <w:rPr>
                <w:sz w:val="24"/>
                <w:szCs w:val="20"/>
              </w:rPr>
            </w:pPr>
            <w:r>
              <w:rPr>
                <w:sz w:val="24"/>
                <w:szCs w:val="20"/>
              </w:rPr>
              <w:t>38.0</w:t>
            </w:r>
          </w:p>
        </w:tc>
        <w:tc>
          <w:tcPr>
            <w:tcW w:w="992" w:type="dxa"/>
            <w:vAlign w:val="center"/>
          </w:tcPr>
          <w:p>
            <w:pPr>
              <w:spacing w:line="440" w:lineRule="exact"/>
              <w:jc w:val="center"/>
              <w:rPr>
                <w:sz w:val="24"/>
                <w:szCs w:val="20"/>
              </w:rPr>
            </w:pPr>
            <w:r>
              <w:rPr>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森林蓄积量（亿立方米）</w:t>
            </w:r>
          </w:p>
        </w:tc>
        <w:tc>
          <w:tcPr>
            <w:tcW w:w="1276" w:type="dxa"/>
            <w:vAlign w:val="center"/>
          </w:tcPr>
          <w:p>
            <w:pPr>
              <w:spacing w:line="440" w:lineRule="exact"/>
              <w:jc w:val="center"/>
              <w:rPr>
                <w:sz w:val="24"/>
                <w:szCs w:val="20"/>
              </w:rPr>
            </w:pPr>
            <w:r>
              <w:rPr>
                <w:sz w:val="24"/>
                <w:szCs w:val="20"/>
              </w:rPr>
              <w:t>0.31</w:t>
            </w:r>
          </w:p>
        </w:tc>
        <w:tc>
          <w:tcPr>
            <w:tcW w:w="1276" w:type="dxa"/>
            <w:vAlign w:val="center"/>
          </w:tcPr>
          <w:p>
            <w:pPr>
              <w:spacing w:line="440" w:lineRule="exact"/>
              <w:jc w:val="center"/>
              <w:rPr>
                <w:sz w:val="24"/>
                <w:szCs w:val="20"/>
              </w:rPr>
            </w:pPr>
            <w:r>
              <w:rPr>
                <w:sz w:val="24"/>
                <w:szCs w:val="20"/>
              </w:rPr>
              <w:t>0.36</w:t>
            </w:r>
          </w:p>
        </w:tc>
        <w:tc>
          <w:tcPr>
            <w:tcW w:w="992" w:type="dxa"/>
            <w:vAlign w:val="center"/>
          </w:tcPr>
          <w:p>
            <w:pPr>
              <w:spacing w:line="440" w:lineRule="exact"/>
              <w:jc w:val="center"/>
              <w:rPr>
                <w:sz w:val="24"/>
                <w:szCs w:val="20"/>
              </w:rPr>
            </w:pPr>
            <w:r>
              <w:rPr>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restart"/>
            <w:vAlign w:val="center"/>
          </w:tcPr>
          <w:p>
            <w:pPr>
              <w:spacing w:line="440" w:lineRule="exact"/>
              <w:jc w:val="center"/>
              <w:rPr>
                <w:sz w:val="24"/>
                <w:szCs w:val="20"/>
              </w:rPr>
            </w:pPr>
            <w:r>
              <w:rPr>
                <w:sz w:val="24"/>
                <w:szCs w:val="20"/>
              </w:rPr>
              <w:t>生活</w:t>
            </w:r>
          </w:p>
          <w:p>
            <w:pPr>
              <w:spacing w:line="440" w:lineRule="exact"/>
              <w:jc w:val="center"/>
              <w:rPr>
                <w:sz w:val="24"/>
                <w:szCs w:val="20"/>
              </w:rPr>
            </w:pPr>
            <w:r>
              <w:rPr>
                <w:sz w:val="24"/>
                <w:szCs w:val="20"/>
              </w:rPr>
              <w:t>质量</w:t>
            </w:r>
          </w:p>
        </w:tc>
        <w:tc>
          <w:tcPr>
            <w:tcW w:w="4394" w:type="dxa"/>
            <w:vAlign w:val="center"/>
          </w:tcPr>
          <w:p>
            <w:pPr>
              <w:spacing w:line="440" w:lineRule="exact"/>
              <w:jc w:val="center"/>
              <w:rPr>
                <w:sz w:val="24"/>
                <w:szCs w:val="20"/>
              </w:rPr>
            </w:pPr>
            <w:r>
              <w:rPr>
                <w:sz w:val="24"/>
                <w:szCs w:val="20"/>
              </w:rPr>
              <w:t>农民人均可支配收入（元）</w:t>
            </w:r>
          </w:p>
        </w:tc>
        <w:tc>
          <w:tcPr>
            <w:tcW w:w="1276" w:type="dxa"/>
            <w:vAlign w:val="center"/>
          </w:tcPr>
          <w:p>
            <w:pPr>
              <w:spacing w:line="440" w:lineRule="exact"/>
              <w:jc w:val="center"/>
              <w:rPr>
                <w:sz w:val="24"/>
                <w:szCs w:val="20"/>
              </w:rPr>
            </w:pPr>
            <w:r>
              <w:rPr>
                <w:sz w:val="24"/>
                <w:szCs w:val="20"/>
              </w:rPr>
              <w:t>9844</w:t>
            </w:r>
          </w:p>
        </w:tc>
        <w:tc>
          <w:tcPr>
            <w:tcW w:w="1276" w:type="dxa"/>
            <w:vAlign w:val="center"/>
          </w:tcPr>
          <w:p>
            <w:pPr>
              <w:spacing w:line="440" w:lineRule="exact"/>
              <w:jc w:val="center"/>
              <w:rPr>
                <w:sz w:val="24"/>
                <w:szCs w:val="20"/>
              </w:rPr>
            </w:pPr>
            <w:r>
              <w:rPr>
                <w:sz w:val="24"/>
                <w:szCs w:val="20"/>
              </w:rPr>
              <w:t>10828</w:t>
            </w:r>
          </w:p>
        </w:tc>
        <w:tc>
          <w:tcPr>
            <w:tcW w:w="992" w:type="dxa"/>
            <w:vAlign w:val="center"/>
          </w:tcPr>
          <w:p>
            <w:pPr>
              <w:spacing w:line="440" w:lineRule="exact"/>
              <w:jc w:val="center"/>
              <w:rPr>
                <w:sz w:val="24"/>
                <w:szCs w:val="20"/>
              </w:rPr>
            </w:pPr>
            <w:r>
              <w:rPr>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rPr>
        <w:tc>
          <w:tcPr>
            <w:tcW w:w="817" w:type="dxa"/>
            <w:vMerge w:val="continue"/>
            <w:vAlign w:val="center"/>
          </w:tcPr>
          <w:p>
            <w:pPr>
              <w:spacing w:line="440" w:lineRule="exact"/>
              <w:jc w:val="center"/>
              <w:rPr>
                <w:sz w:val="24"/>
                <w:szCs w:val="20"/>
              </w:rPr>
            </w:pPr>
          </w:p>
        </w:tc>
        <w:tc>
          <w:tcPr>
            <w:tcW w:w="4394" w:type="dxa"/>
            <w:vAlign w:val="center"/>
          </w:tcPr>
          <w:p>
            <w:pPr>
              <w:spacing w:line="440" w:lineRule="exact"/>
              <w:jc w:val="center"/>
              <w:rPr>
                <w:sz w:val="24"/>
                <w:szCs w:val="20"/>
              </w:rPr>
            </w:pPr>
            <w:r>
              <w:rPr>
                <w:sz w:val="24"/>
                <w:szCs w:val="20"/>
              </w:rPr>
              <w:t>农村贫困人口脱贫（万人）</w:t>
            </w:r>
          </w:p>
        </w:tc>
        <w:tc>
          <w:tcPr>
            <w:tcW w:w="1276" w:type="dxa"/>
            <w:vAlign w:val="center"/>
          </w:tcPr>
          <w:p>
            <w:pPr>
              <w:spacing w:line="440" w:lineRule="exact"/>
              <w:jc w:val="center"/>
              <w:rPr>
                <w:sz w:val="24"/>
                <w:szCs w:val="20"/>
              </w:rPr>
            </w:pPr>
            <w:r>
              <w:rPr>
                <w:sz w:val="24"/>
                <w:szCs w:val="20"/>
              </w:rPr>
              <w:t>-</w:t>
            </w:r>
          </w:p>
        </w:tc>
        <w:tc>
          <w:tcPr>
            <w:tcW w:w="1276" w:type="dxa"/>
            <w:vAlign w:val="center"/>
          </w:tcPr>
          <w:p>
            <w:pPr>
              <w:spacing w:line="440" w:lineRule="exact"/>
              <w:jc w:val="center"/>
              <w:rPr>
                <w:sz w:val="24"/>
                <w:szCs w:val="20"/>
              </w:rPr>
            </w:pPr>
            <w:r>
              <w:rPr>
                <w:sz w:val="24"/>
                <w:szCs w:val="20"/>
              </w:rPr>
              <w:t>30.96</w:t>
            </w:r>
          </w:p>
        </w:tc>
        <w:tc>
          <w:tcPr>
            <w:tcW w:w="992" w:type="dxa"/>
            <w:vAlign w:val="center"/>
          </w:tcPr>
          <w:p>
            <w:pPr>
              <w:spacing w:line="440" w:lineRule="exact"/>
              <w:jc w:val="center"/>
              <w:rPr>
                <w:sz w:val="24"/>
                <w:szCs w:val="20"/>
              </w:rPr>
            </w:pPr>
            <w:r>
              <w:rPr>
                <w:sz w:val="24"/>
                <w:szCs w:val="20"/>
              </w:rPr>
              <w:t>约束性</w:t>
            </w:r>
          </w:p>
        </w:tc>
      </w:tr>
    </w:tbl>
    <w:p>
      <w:pPr>
        <w:keepNext/>
        <w:keepLines/>
        <w:spacing w:line="580" w:lineRule="exact"/>
        <w:jc w:val="center"/>
        <w:outlineLvl w:val="1"/>
        <w:rPr>
          <w:rFonts w:eastAsia="方正楷体_GBK"/>
          <w:b/>
          <w:bCs/>
        </w:rPr>
      </w:pPr>
      <w:bookmarkStart w:id="20" w:name="_Toc483496250"/>
      <w:bookmarkStart w:id="21" w:name="_Toc480812445"/>
      <w:r>
        <w:rPr>
          <w:rFonts w:eastAsia="方正楷体_GBK"/>
          <w:b/>
          <w:bCs/>
        </w:rPr>
        <w:t>第四节  发展重点</w:t>
      </w:r>
      <w:bookmarkEnd w:id="20"/>
      <w:bookmarkEnd w:id="21"/>
    </w:p>
    <w:p>
      <w:pPr>
        <w:spacing w:line="580" w:lineRule="exact"/>
        <w:jc w:val="center"/>
        <w:rPr>
          <w:rFonts w:eastAsia="楷体_GB2312"/>
          <w:b/>
          <w:szCs w:val="20"/>
        </w:rPr>
      </w:pPr>
    </w:p>
    <w:p>
      <w:pPr>
        <w:spacing w:line="580" w:lineRule="exact"/>
        <w:ind w:firstLine="624"/>
      </w:pPr>
      <w:r>
        <w:t>围绕现代农业建设，着眼于解决制约农业农村发展深层次矛盾和问题，立足我市农业农村发展基础和比较优势，重点实施五大关键性举措。</w:t>
      </w:r>
    </w:p>
    <w:p>
      <w:pPr>
        <w:spacing w:line="580" w:lineRule="exact"/>
        <w:ind w:firstLine="624"/>
      </w:pPr>
      <w:r>
        <w:t>——突出抓好种养业供给侧结构性改革。以提高农业供给体系质量和效率为目标，按照种养结构调优、加工能力调强、经营规模调大、产业链条调长的要求，大力发展优质小麦、优质花生、优质草畜、优质林果，加快推动农业布局区域化、经营规模化、生产标准化、发展产业化，改革创新农业生产经营体系、农业科技服务体系、农村金融保险体系、农业产品流通体系，优化资源配置，提升农产品品质、品相、品牌，使农业供给与市场需求更加契合，真正形成结构合理、保障有力的农产品有效供给。</w:t>
      </w:r>
    </w:p>
    <w:p>
      <w:pPr>
        <w:spacing w:line="580" w:lineRule="exact"/>
        <w:ind w:firstLine="624"/>
      </w:pPr>
      <w:r>
        <w:t>——着力构建现代农业产业体系，培育农业产业化集群。</w:t>
      </w:r>
      <w:r>
        <w:rPr>
          <w:kern w:val="0"/>
        </w:rPr>
        <w:t>按照大农业、大食品、大市场和全链条、全要素、全循环理念，</w:t>
      </w:r>
      <w:r>
        <w:t>充分发挥目前我市农业大市、粮食大市，以及市场和产业优势，引导土地、资金、技术、人才、管理等各种要素向优势产业集聚，</w:t>
      </w:r>
      <w:r>
        <w:rPr>
          <w:bCs/>
        </w:rPr>
        <w:t>建设形成一批高品质、高效益、高产能、高科技的优势特色农产品生产基地和产业集群</w:t>
      </w:r>
      <w:r>
        <w:rPr>
          <w:kern w:val="0"/>
        </w:rPr>
        <w:t>，</w:t>
      </w:r>
      <w:r>
        <w:t>开发农业多种功能，着力推进农业全产业链和全价值链建设，加快农村一二三产业交叉融合互动发展，提高农业产业的综合效益和整体竞争力</w:t>
      </w:r>
      <w:r>
        <w:rPr>
          <w:kern w:val="0"/>
        </w:rPr>
        <w:t>。</w:t>
      </w:r>
    </w:p>
    <w:p>
      <w:pPr>
        <w:spacing w:line="580" w:lineRule="exact"/>
        <w:ind w:firstLine="624"/>
      </w:pPr>
      <w:r>
        <w:t>——推广先进实用农业技术，完善农技推广服务体系建设。围绕现代农业和粮食核心区建设，大力推广农作物优新品种、水稻机械直播技术、精播半精播、病虫害综合防治技术、农业节本增效技术、高效节水灌溉技术、免耕栽培、测土配方施肥技术、农产品精深加工技术、农业信息化技术、资源高效利用技术、农业环境保护技术等先进实用农业技术，提高农业科技贡献率。探索农技推广新机制新方法，激活提升基层农技推广体系服务功能。通过加强农技推广体系机构建设、队伍建设、运行机制建设、设施条件建设、农技人员培训和农技推广方式方法的创新，着力培养一支适应现代农业发展需求，知识结构合理，热爱农技事业，具有较高业务素质和推广服务能力的农技推广队伍，提升农技推广体系公益性服务能力。</w:t>
      </w:r>
    </w:p>
    <w:p>
      <w:pPr>
        <w:spacing w:line="580" w:lineRule="exact"/>
        <w:ind w:firstLine="624"/>
      </w:pPr>
      <w:r>
        <w:t>——着力提升农业可持续发展水平。牢固树立尊重自然、顺应自然、保护自然的生态文明理念，把发展绿色农业、生态农业放在更加重要的位置，切实保护农业资源，转变农业发展方式，加强农业生态保护和修复，保障农产品质量安全，促进农业资源永续利用，实现农业与生态的互进互促、共赢发展。</w:t>
      </w:r>
    </w:p>
    <w:p>
      <w:pPr>
        <w:spacing w:line="580" w:lineRule="exact"/>
        <w:ind w:firstLine="624"/>
      </w:pPr>
      <w:r>
        <w:t>——着力推进城乡协调发展。健全城乡发展一体化体制机制，促进城乡公共资源均衡配置、城乡要素平等交换，稳步提高城乡基本公共服务均等化水平。推进美丽宜居乡村建设，完善农村基础实施，提升公共服务水平，深入开展精准扶贫，改善农村人居环境，建设农民幸福生活的美好家园。</w:t>
      </w:r>
    </w:p>
    <w:p>
      <w:pPr>
        <w:spacing w:line="580" w:lineRule="exact"/>
        <w:jc w:val="center"/>
        <w:rPr>
          <w:rFonts w:eastAsia="黑体"/>
          <w:b/>
          <w:bCs/>
          <w:kern w:val="44"/>
        </w:rPr>
      </w:pPr>
      <w:bookmarkStart w:id="22" w:name="_Toc477768139"/>
      <w:bookmarkStart w:id="23" w:name="_Toc480812446"/>
      <w:bookmarkStart w:id="24" w:name="_Toc483496251"/>
    </w:p>
    <w:p>
      <w:pPr>
        <w:keepNext/>
        <w:keepLines/>
        <w:spacing w:line="580" w:lineRule="exact"/>
        <w:jc w:val="center"/>
        <w:outlineLvl w:val="0"/>
        <w:rPr>
          <w:rFonts w:eastAsia="黑体"/>
          <w:kern w:val="44"/>
        </w:rPr>
      </w:pPr>
      <w:r>
        <w:rPr>
          <w:rFonts w:eastAsia="黑体"/>
          <w:kern w:val="44"/>
        </w:rPr>
        <w:t>第三章  主要任务</w:t>
      </w:r>
      <w:bookmarkEnd w:id="22"/>
      <w:bookmarkEnd w:id="23"/>
      <w:bookmarkEnd w:id="24"/>
    </w:p>
    <w:p>
      <w:pPr>
        <w:spacing w:line="580" w:lineRule="exact"/>
        <w:rPr>
          <w:rFonts w:eastAsia="仿宋_GB2312"/>
          <w:b/>
          <w:szCs w:val="20"/>
        </w:rPr>
      </w:pPr>
      <w:bookmarkStart w:id="25" w:name="_Toc467741658"/>
    </w:p>
    <w:p>
      <w:pPr>
        <w:keepNext/>
        <w:keepLines/>
        <w:spacing w:line="580" w:lineRule="exact"/>
        <w:jc w:val="center"/>
        <w:outlineLvl w:val="1"/>
        <w:rPr>
          <w:rFonts w:eastAsia="方正楷体_GBK"/>
          <w:b/>
          <w:bCs/>
        </w:rPr>
      </w:pPr>
      <w:bookmarkStart w:id="26" w:name="_Toc483496252"/>
      <w:r>
        <w:rPr>
          <w:rFonts w:eastAsia="方正楷体_GBK"/>
          <w:b/>
          <w:bCs/>
        </w:rPr>
        <w:t>第一节  大力推进种养业结构调整</w:t>
      </w:r>
      <w:bookmarkEnd w:id="26"/>
    </w:p>
    <w:p>
      <w:pPr>
        <w:spacing w:line="580" w:lineRule="exact"/>
        <w:jc w:val="center"/>
        <w:rPr>
          <w:rFonts w:eastAsia="楷体_GB2312"/>
          <w:b/>
          <w:szCs w:val="20"/>
        </w:rPr>
      </w:pPr>
    </w:p>
    <w:p>
      <w:pPr>
        <w:spacing w:line="580" w:lineRule="exact"/>
        <w:ind w:firstLine="624"/>
      </w:pPr>
      <w:r>
        <w:t>深入推进种养业供给侧结构性改革，以农产品精深加工为牵引，进一步优化种养业生产结构和区域布局，突出发展四大优势农产品生产。</w:t>
      </w:r>
    </w:p>
    <w:p>
      <w:pPr>
        <w:spacing w:line="580" w:lineRule="exact"/>
        <w:ind w:firstLine="626"/>
      </w:pPr>
      <w:r>
        <w:rPr>
          <w:rFonts w:eastAsia="仿宋_GB2312"/>
          <w:b/>
          <w:bCs/>
        </w:rPr>
        <w:t>大力发展优质粮油。</w:t>
      </w:r>
      <w:r>
        <w:t>充分利用良好的地理环境和生态优势，大力发展优质水稻、弱筋小麦和“双低”油菜生产。积极推广“市场牵龙头、龙头连基地、基地带农户”的经验模式，推动品种不断优化、品质不断提升、面积不断扩大、效益不断提高。</w:t>
      </w:r>
    </w:p>
    <w:p>
      <w:pPr>
        <w:spacing w:line="580" w:lineRule="exact"/>
        <w:ind w:firstLine="624"/>
      </w:pPr>
      <w:r>
        <w:t>发展优质粮食。积极引进推广适合当地种植的优良品种，促进水稻、小麦优质化率不断提高。加大绿色防控技术在水稻生产上的推广运用力度，探索发展稻田综合种养模式，积极扩大绿色稻米生产基地。依托弱筋小麦生产加工企业，示范带动农户不断扩大弱筋小麦种植面积，加强弱筋小麦绿色高产高效集成技术研究推广运用，在已建成的高标准粮田区域内，选择一批“千亩方”、“万亩方”，实行统一供种、统一管理、统一收购，切实实现质优价高。到2020年，全市优质水稻发展到500万亩左右。优质弱筋小麦发展到300万亩左右。</w:t>
      </w:r>
    </w:p>
    <w:p>
      <w:pPr>
        <w:adjustRightInd w:val="0"/>
        <w:snapToGrid w:val="0"/>
        <w:spacing w:line="580" w:lineRule="exact"/>
        <w:ind w:firstLine="624"/>
      </w:pPr>
      <w:r>
        <w:t>发展优质油料。在稳定粮食种植面积的基础上，积极扩大“双低”油菜新品种新技术的引进、试验、示范和推广，实现优质高产。积极发展优质花生生产，引导生产规模较大、效益较好的油脂加工企业在主产区建立原料生产基地，实行“企业+基地+农户”经营模式，促进油料产业化。加大“双低”油菜机械种收技术推广应用研究力度，促进节本增效。到2020年，全市优质“双低”油菜发展到180万亩左右，优质花生发展到90万亩左右。</w:t>
      </w:r>
    </w:p>
    <w:p>
      <w:pPr>
        <w:spacing w:line="580" w:lineRule="exact"/>
        <w:ind w:firstLine="624"/>
      </w:pPr>
      <w:r>
        <w:t>推动粮油优质优价。引导粮油生产加工企业与新型农业经营主体、农户发展订单生产，开展专收专储专售专加工，实现互利共赢。支持新型农业经营主体开展“三品一标”认证，创建产品品牌，提升市场竞争力。指导优质粮油生产经营主体和加工企业开展“农超对接”、“农社对接”，扩大市场销售面，降低营销成本。</w:t>
      </w:r>
    </w:p>
    <w:p>
      <w:pPr>
        <w:spacing w:line="580" w:lineRule="exact"/>
        <w:ind w:firstLine="626"/>
      </w:pPr>
      <w:r>
        <w:rPr>
          <w:b/>
          <w:bCs/>
        </w:rPr>
        <w:t>大力发展优质特色产业。</w:t>
      </w:r>
      <w:r>
        <w:t>充分发挥农业资源丰富优势，积极发展茶叶、蔬菜、油茶、板栗、中药材、花卉等特色产业，并结合林下经济，延伸产业链条。按照优势产品区域化、基地建设标准化、产品经营产业化的思路，把特色产业做大做强，成为带动农户增收的主导产业。</w:t>
      </w:r>
    </w:p>
    <w:p>
      <w:pPr>
        <w:adjustRightInd w:val="0"/>
        <w:snapToGrid w:val="0"/>
        <w:spacing w:line="580" w:lineRule="exact"/>
        <w:ind w:firstLine="624"/>
      </w:pPr>
      <w:r>
        <w:t>发展茶产业。积极推广产量高、品质好、开采早、见效快、抗性强的无性系茶树良种，不断提高茶园单产和效益。加强茶园生产管理机械的引进试验、示范和推广，着力推进茶叶采摘机械化。引导茶叶生产加工企业与茶农建立稳定的购销关系，扩大生产基地，分享加工收益。着力培育茶产业新型生产经营主体，支持扶持网上、网下的茶叶营销工作。加大对信阳毛尖知名品牌和“三品一标”品牌企业的奖励力度。支持无公害茶叶、绿色茶叶、有机茶叶基地建设，不断提升茶叶品质。适时举办茶叶文化节等茶事活动，抓住省、部级和国家举办的农展、农博等机会，推介宣传信阳毛尖和信阳毛尖原产地。加大茶叶相关产品的开发研究力度，进一步延伸茶产业链条，提高经济效益。到2020年，茶园单产提高65%。</w:t>
      </w:r>
    </w:p>
    <w:p>
      <w:pPr>
        <w:spacing w:line="580" w:lineRule="exact"/>
        <w:ind w:firstLine="624"/>
      </w:pPr>
      <w:r>
        <w:t>发展蔬菜产业。大力发展设施蔬菜产业，建设一批蔬菜标准化生产示范基地，积极发展无公害、绿色和有机蔬菜，示范带动“菜篮子”产品基本实现无公害。加强质量安全监管。积极构建以产地环境、农业投入品使用、生产记录等全程覆盖运转高效的监管格局。引导和扶持“菜篮子”产品加工企业发展分拣、清洗、分等分级、整理包装、速冻保鲜等初加工业，延伸“菜篮子”产品产业链条，提高产品附加值。</w:t>
      </w:r>
    </w:p>
    <w:p>
      <w:pPr>
        <w:adjustRightInd w:val="0"/>
        <w:snapToGrid w:val="0"/>
        <w:spacing w:line="580" w:lineRule="exact"/>
        <w:ind w:firstLine="624"/>
      </w:pPr>
      <w:r>
        <w:t>发展油茶产业。坚持新造和低改相结合，加快发展油茶产业。支持各种市场主体通过承包、租赁、转让、股份合作经营等形式参与油茶基地建设，推进规模经营。鼓励企业按“企业+基地+农户”经营模式建立油茶基地，提高生产组织化程度。支持油茶生产加工企业进行科技创新，延伸产业链，培育知名品牌，提高市场竞争力。到2020年，油茶基地面积达到100万亩。</w:t>
      </w:r>
    </w:p>
    <w:p>
      <w:pPr>
        <w:adjustRightInd w:val="0"/>
        <w:snapToGrid w:val="0"/>
        <w:spacing w:line="580" w:lineRule="exact"/>
        <w:ind w:firstLine="624"/>
      </w:pPr>
      <w:r>
        <w:t>发展板栗产业。坚持老品种改良与新品种引进相结合。鼓励各类市场主体参与板栗品种改良升级，引进新品种，对板栗产业进行深加工，拉长产业链条。</w:t>
      </w:r>
    </w:p>
    <w:p>
      <w:pPr>
        <w:spacing w:line="580" w:lineRule="exact"/>
        <w:ind w:firstLine="624"/>
      </w:pPr>
      <w:r>
        <w:t>发展中药材。鼓励和支持重点企业和中药材种植大户引进设施农业技术，种植药用价值高、市场价格稳的优质中药材。加快推进中药原料产业开发，延长产业链，提升价值链。引导中药材种植大户与加工企业、专业市场建立稳固的利益联结机制，实现订单种植、合同销售。支持中药材种植大户进行品种选育、标准化栽培模式、病虫害防控、机械化栽种采收、储藏干燥等标准技术研究，促进中药材可持续发展。</w:t>
      </w:r>
    </w:p>
    <w:p>
      <w:pPr>
        <w:adjustRightInd w:val="0"/>
        <w:snapToGrid w:val="0"/>
        <w:spacing w:line="580" w:lineRule="exact"/>
        <w:ind w:firstLine="624"/>
      </w:pPr>
      <w:r>
        <w:t>发展苗木花卉产业。指导花卉苗木企业开展产品结构调整，实现精细化、标准化、特色化管理，引进适宜本土生长且彩色性状表现突出稳定的苗木花卉品种。加强与科研院校合作，做好新品种或优势产品的相关技术攻关和储备。充分利用“互联网+”,借助花卉苗木协会网搭建交易平台，拓展电子商务，逐步实现对外销售一站式配送服务，抢占外地市场份额。积极引导花卉苗木企业建设专业产业园或开展赏花观景休闲旅游等系列文化旅游活动，延伸花木产业发展链条，形成市场规模效应。到2020年，全市苗木花卉面积达到55万亩以上。</w:t>
      </w:r>
    </w:p>
    <w:p>
      <w:pPr>
        <w:spacing w:line="580" w:lineRule="exact"/>
        <w:ind w:firstLine="626"/>
      </w:pPr>
      <w:r>
        <w:rPr>
          <w:b/>
          <w:bCs/>
        </w:rPr>
        <w:t>大力发展</w:t>
      </w:r>
      <w:r>
        <w:rPr>
          <w:b/>
        </w:rPr>
        <w:t>优质草畜。</w:t>
      </w:r>
      <w:r>
        <w:t>充分利用秸秆资源、积极发展优质牧草生产，推进良种繁育体系建设，着力扩大优质奶牛、肉牛生产规模，提升优质草畜发展水平。</w:t>
      </w:r>
    </w:p>
    <w:p>
      <w:pPr>
        <w:spacing w:line="580" w:lineRule="exact"/>
        <w:ind w:firstLine="624"/>
      </w:pPr>
      <w:r>
        <w:t>发展优质饲草生产。积极推广青贮、微贮、氨化、秸草加工等实用技术，提高水稻、小麦、花生、红薯等农作物秸秆饲料化利用率；抓好省级“粮改饲”试点县项目建设。按照草畜配套的原则，加大项目资金投入，在淮河滩区和信南浅山丘陵区积极发展人工草地、半人工草地、种植构树，为肉牛、奶牛产业发展提供优质饲草。积极推广饲草调制技术，提高饲草转化效率。争取实施国家振兴奶业苜蓿发展行动项目，示范带动全市优质牧草种植。　　</w:t>
      </w:r>
    </w:p>
    <w:p>
      <w:pPr>
        <w:spacing w:line="580" w:lineRule="exact"/>
        <w:ind w:firstLine="624"/>
      </w:pPr>
      <w:r>
        <w:t>推进良种繁育体系建设。加大豫南黑猪、信阳水牛等地方品种保护和开发利用力度，大力推进信阳水牛役改肉工程，加快信阳水牛产业开发步伐。实施奶牛肉牛遗传改良计划，大力支持种公牛站和繁育体系建设，规范开展生产性能测定工作，不断提高育种水平和供种能力。应用胚胎移植、性控冻精等高新生物技术，加快良种扩繁速度，加快我市肉牛新品种培育步伐。</w:t>
      </w:r>
    </w:p>
    <w:p>
      <w:pPr>
        <w:spacing w:line="580" w:lineRule="exact"/>
        <w:ind w:firstLine="624"/>
        <w:rPr>
          <w:rFonts w:eastAsia="仿宋_GB2312"/>
          <w:kern w:val="0"/>
        </w:rPr>
      </w:pPr>
      <w:r>
        <w:t>扩大优质奶牛、肉牛生产规模。加快奶牛、肉牛养殖基地建设，扩大奶牛、肉牛生产规模，支持肉牛基础母牛养殖和肉牛标准化规模育肥，</w:t>
      </w:r>
      <w:r>
        <w:rPr>
          <w:b/>
          <w:bCs/>
        </w:rPr>
        <w:t>重点支持存栏量500头以上的肉牛养殖基地建设。</w:t>
      </w:r>
      <w:r>
        <w:t>继续在息县、淮滨县实施基础母牛扩群增量项目。积极推行“龙头企业+合作社+农户”等经营模式，大力发展奶牛、肉牛合作社。引导合作社发展符合信阳特色的集生态养殖、居民认领、生产体验于一体的“牛家乐”旅游点。</w:t>
      </w:r>
      <w:r>
        <w:rPr>
          <w:rFonts w:eastAsia="仿宋_GB2312"/>
          <w:kern w:val="0"/>
        </w:rPr>
        <w:t>　</w:t>
      </w:r>
    </w:p>
    <w:p>
      <w:pPr>
        <w:spacing w:line="580" w:lineRule="exact"/>
        <w:ind w:firstLine="626"/>
        <w:rPr>
          <w:b/>
          <w:bCs/>
        </w:rPr>
      </w:pPr>
      <w:r>
        <w:rPr>
          <w:b/>
          <w:bCs/>
        </w:rPr>
        <w:t>大力发展特色水产业</w:t>
      </w:r>
    </w:p>
    <w:p>
      <w:pPr>
        <w:spacing w:line="580" w:lineRule="exact"/>
        <w:ind w:firstLine="624"/>
      </w:pPr>
      <w:r>
        <w:t>优化养殖品种结构。扩大名优水产品种养殖规模，使小龙虾等名优水产品种养殖面积达到10万亩以上，水库优质鱼养殖规模达到20万亩以上。推广稻渔综合种养，实现“一水两用，一田双收”，扩大黄颡鱼、鳜鱼、鲈鱼等养殖规模，提高养殖效益。</w:t>
      </w:r>
    </w:p>
    <w:p>
      <w:pPr>
        <w:spacing w:line="580" w:lineRule="exact"/>
        <w:ind w:firstLine="624"/>
      </w:pPr>
      <w:r>
        <w:t>开展水产技术推广。积极开展健康养殖示范场创建活动，实施好基层水产技术推广体系改革与建设项目工作。</w:t>
      </w:r>
    </w:p>
    <w:p>
      <w:pPr>
        <w:spacing w:line="580" w:lineRule="exact"/>
        <w:ind w:firstLine="624"/>
      </w:pPr>
      <w:r>
        <w:t>提升二三产业比重。着力发展水产品加工业和休闲渔业，开展全国休闲渔业示范基地创建工作，引导有一定基础的水库、渔场（农庄）开展休闲渔业，促进休闲渔业快速健康发展。引导水产品加工企业开展技术创新和调整产品结构。</w:t>
      </w:r>
    </w:p>
    <w:p>
      <w:pPr>
        <w:spacing w:line="580" w:lineRule="exact"/>
        <w:ind w:firstLine="624"/>
      </w:pPr>
      <w:r>
        <w:t>加强品牌建设。积极培育“南湾鱼”、“淮河鱼”、“泼河鱼”、“石山口鱼”、“光山青虾”、“光州黄鳖”等水产品品牌，加大市场开拓力度，开展“走出去”战略，让“信阳鱼”走出河南、走向全国。</w:t>
      </w:r>
    </w:p>
    <w:p>
      <w:pPr>
        <w:spacing w:line="580" w:lineRule="exact"/>
        <w:ind w:firstLine="624"/>
      </w:pPr>
      <w:r>
        <w:t>加大基础设施建设。重点加强农村池塘改造、渔政码头、水产良种场建设，提升基础保障能力。</w:t>
      </w:r>
    </w:p>
    <w:p>
      <w:pPr>
        <w:spacing w:line="580" w:lineRule="exact"/>
        <w:rPr>
          <w:rFonts w:eastAsia="仿宋_GB2312"/>
          <w:szCs w:val="20"/>
        </w:rPr>
      </w:pPr>
    </w:p>
    <w:p>
      <w:pPr>
        <w:keepNext/>
        <w:keepLines/>
        <w:spacing w:line="580" w:lineRule="exact"/>
        <w:jc w:val="center"/>
        <w:outlineLvl w:val="1"/>
        <w:rPr>
          <w:rFonts w:eastAsia="方正楷体_GBK"/>
          <w:b/>
          <w:bCs/>
        </w:rPr>
      </w:pPr>
      <w:bookmarkStart w:id="27" w:name="_Toc480812447"/>
      <w:bookmarkStart w:id="28" w:name="_Toc483496253"/>
      <w:r>
        <w:rPr>
          <w:rFonts w:eastAsia="方正楷体_GBK"/>
          <w:b/>
          <w:bCs/>
        </w:rPr>
        <w:t>第二节  加快发展现代农业</w:t>
      </w:r>
      <w:bookmarkEnd w:id="27"/>
      <w:bookmarkEnd w:id="28"/>
    </w:p>
    <w:p>
      <w:pPr>
        <w:spacing w:line="580" w:lineRule="exact"/>
        <w:jc w:val="center"/>
        <w:rPr>
          <w:rFonts w:eastAsia="楷体_GB2312"/>
          <w:b/>
          <w:szCs w:val="20"/>
        </w:rPr>
      </w:pPr>
    </w:p>
    <w:p>
      <w:pPr>
        <w:spacing w:line="580" w:lineRule="exact"/>
        <w:ind w:firstLine="626"/>
      </w:pPr>
      <w:r>
        <w:rPr>
          <w:b/>
          <w:bCs/>
          <w:szCs w:val="20"/>
        </w:rPr>
        <w:t>持续抓好高标准粮田“百千万”建设工程</w:t>
      </w:r>
      <w:r>
        <w:rPr>
          <w:sz w:val="18"/>
          <w:szCs w:val="18"/>
        </w:rPr>
        <w:footnoteReference w:id="0"/>
      </w:r>
      <w:r>
        <w:rPr>
          <w:b/>
          <w:bCs/>
          <w:szCs w:val="20"/>
        </w:rPr>
        <w:t>。</w:t>
      </w:r>
      <w:r>
        <w:t>大力推进农田基础设施、土地整治、小农水重点县等项目建设，统筹推进农业机械化、农业科技创新和农业技术服务体系建设，争取建成3个国家级高标准基本农田建设示范县和2个省级高标准良田示范县。实施最严格的耕地保护制度。落实藏粮于地、藏粮于技战略</w:t>
      </w:r>
      <w:r>
        <w:footnoteReference w:id="1"/>
      </w:r>
      <w:r>
        <w:t>，探索土地轮作休耕制度</w:t>
      </w:r>
      <w:r>
        <w:footnoteReference w:id="2"/>
      </w:r>
      <w:r>
        <w:t>。积极实施耕地质量保护与提升行动，加强公用设施维护和统一管理。</w:t>
      </w:r>
    </w:p>
    <w:p>
      <w:pPr>
        <w:spacing w:line="580" w:lineRule="exact"/>
        <w:ind w:firstLine="626"/>
        <w:rPr>
          <w:rFonts w:eastAsia="仿宋_GB2312"/>
          <w:szCs w:val="20"/>
        </w:rPr>
      </w:pPr>
      <w:r>
        <w:rPr>
          <w:b/>
          <w:bCs/>
          <w:szCs w:val="20"/>
        </w:rPr>
        <w:t>持续抓好现代农业产业化集群培育工程。</w:t>
      </w:r>
      <w:r>
        <w:t>推广龙头企业主导、中小企业集群发展、合作组织、家庭农场和种养大户联动发展的农业经营模式，提高农民组织化程度。培育引进一批农业产业化龙头企业，不断扩大企业的数量和规模，促进市级重点龙头企业向省级重点龙头企业、国家级重点龙头企业升级。扶持各类龙头企业拉长产业链条，提高增值加工水平，培育名牌产品，增强带动能力。积极申报创建国家现代农业示范区，打造信阳茶产业集群示范区。力争到2020年建成绿色食品、粮油、畜牧、果蔬、茶叶、油茶、水产、食用菌、药材等50个产业集群，全市农业产业化集群年销售收入突破1000亿元。</w:t>
      </w:r>
    </w:p>
    <w:p>
      <w:pPr>
        <w:spacing w:line="580" w:lineRule="exact"/>
        <w:ind w:firstLine="624"/>
        <w:rPr>
          <w:rFonts w:eastAsia="仿宋_GB2312"/>
          <w:szCs w:val="20"/>
        </w:rPr>
      </w:pPr>
    </w:p>
    <w:tbl>
      <w:tblPr>
        <w:tblStyle w:val="3"/>
        <w:tblW w:w="8325"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8325"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eastAsia="方正小标宋_GBK"/>
                <w:sz w:val="28"/>
              </w:rPr>
            </w:pPr>
            <w:r>
              <w:rPr>
                <w:rFonts w:eastAsia="方正小标宋_GBK"/>
                <w:spacing w:val="-8"/>
                <w:sz w:val="28"/>
              </w:rPr>
              <w:t>专栏3：</w:t>
            </w:r>
            <w:r>
              <w:rPr>
                <w:rFonts w:eastAsia="方正小标宋_GBK"/>
                <w:sz w:val="28"/>
              </w:rPr>
              <w:t>现代农业产业化集群培育工程</w:t>
            </w:r>
            <w:r>
              <w:rPr>
                <w:rFonts w:eastAsia="方正小标宋_GBK"/>
                <w:spacing w:val="-8"/>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6" w:hRule="atLeast"/>
          <w:jc w:val="center"/>
        </w:trPr>
        <w:tc>
          <w:tcPr>
            <w:tcW w:w="8325"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line="580" w:lineRule="exact"/>
              <w:rPr>
                <w:sz w:val="24"/>
              </w:rPr>
            </w:pPr>
            <w:r>
              <w:rPr>
                <w:b/>
                <w:bCs/>
                <w:sz w:val="24"/>
              </w:rPr>
              <w:t>优质稻米、弱筋面制品产业化集群。</w:t>
            </w:r>
            <w:r>
              <w:rPr>
                <w:sz w:val="24"/>
              </w:rPr>
              <w:t>建设优质稻米和弱筋小麦生产基地，发展优质大米、米线、糯米粉等米制品和糕点粉、饼干、挂面等面制品食品加工业，开发米糠油、米糠多糖、稻壳可降解餐盒等米制品相关产业，研究开发大米加工设备，深度延伸稻米产业链条。</w:t>
            </w:r>
          </w:p>
          <w:p>
            <w:pPr>
              <w:adjustRightInd w:val="0"/>
              <w:snapToGrid w:val="0"/>
              <w:spacing w:line="580" w:lineRule="exact"/>
              <w:rPr>
                <w:sz w:val="24"/>
              </w:rPr>
            </w:pPr>
            <w:r>
              <w:rPr>
                <w:b/>
                <w:bCs/>
                <w:sz w:val="24"/>
              </w:rPr>
              <w:t>畜禽、水产品产业化集群。</w:t>
            </w:r>
            <w:r>
              <w:rPr>
                <w:sz w:val="24"/>
              </w:rPr>
              <w:t>建设规模化、标准化、生态化的豫南黑猪、淮南麻鸭等畜禽水产养殖基地和专用饲料基地，发展畜牧加工业和羽毛加工业，建设优质鱼类、虾类产业化集群。</w:t>
            </w:r>
          </w:p>
          <w:p>
            <w:pPr>
              <w:adjustRightInd w:val="0"/>
              <w:snapToGrid w:val="0"/>
              <w:spacing w:line="580" w:lineRule="exact"/>
              <w:rPr>
                <w:sz w:val="24"/>
              </w:rPr>
            </w:pPr>
            <w:r>
              <w:rPr>
                <w:b/>
                <w:bCs/>
                <w:sz w:val="24"/>
              </w:rPr>
              <w:t>优质林业花木产业化集群。</w:t>
            </w:r>
            <w:r>
              <w:rPr>
                <w:sz w:val="24"/>
              </w:rPr>
              <w:t>推动花卉苗木生产基地规模化发展，建成若干集品种培育、展示交易、休闲观光于一体的花卉产业园。发展杨木种植及制板等林产品产业化集群。</w:t>
            </w:r>
          </w:p>
          <w:p>
            <w:pPr>
              <w:adjustRightInd w:val="0"/>
              <w:snapToGrid w:val="0"/>
              <w:spacing w:line="580" w:lineRule="exact"/>
              <w:rPr>
                <w:rFonts w:eastAsia="仿宋_GB2312"/>
                <w:sz w:val="24"/>
              </w:rPr>
            </w:pPr>
            <w:r>
              <w:rPr>
                <w:b/>
                <w:bCs/>
                <w:sz w:val="24"/>
              </w:rPr>
              <w:t>特色农业产业化集群。</w:t>
            </w:r>
            <w:r>
              <w:rPr>
                <w:sz w:val="24"/>
              </w:rPr>
              <w:t>建设标准化草莓、樱桃、葡萄、蓝莓、茶叶、香菇、天麻、银杏、猫爪草、芡实、息半夏、油茶、油牡丹、青钱柳、豆腐柴等特色产业基地。</w:t>
            </w:r>
          </w:p>
        </w:tc>
      </w:tr>
    </w:tbl>
    <w:p>
      <w:pPr>
        <w:spacing w:line="580" w:lineRule="exact"/>
        <w:ind w:firstLine="626"/>
      </w:pPr>
      <w:r>
        <w:rPr>
          <w:b/>
          <w:bCs/>
          <w:szCs w:val="20"/>
        </w:rPr>
        <w:t>持续抓好都市生态农业发展工程。</w:t>
      </w:r>
      <w:r>
        <w:t>以“菜篮子”为主，统筹观光、休闲、体验功能，大力发展生态、有机、设施、创意等农业新业态。创建都市生态农业示范园区，不断满足城乡居民休闲、娱乐、健身等方面的消费需求。到2020年，力争在信阳市城区周边建成1-2个省级都市生态农业示范园区，都市生态农业区域初步建设成为绿色农产品重要供给区。</w:t>
      </w:r>
    </w:p>
    <w:p>
      <w:pPr>
        <w:spacing w:line="580" w:lineRule="exact"/>
        <w:ind w:firstLine="626"/>
      </w:pPr>
      <w:r>
        <w:rPr>
          <w:b/>
          <w:bCs/>
          <w:szCs w:val="20"/>
        </w:rPr>
        <w:t>大力推进一二三产业融合发展。</w:t>
      </w:r>
      <w:r>
        <w:t>实施农村精品旅游线路和农业休闲观光品牌培育，建设一批特色旅游乡镇，打造茶乡游、山水乡村游、农事景观游亮点。鼓励发展规模种养业、农产品加工业和农村服务业，推进生产、加工、物流、营销一体化发展。重点突出生态茶园、茶叶标准化生产基地建设，保障茶叶质量安全，提升信阳茶叶的品牌、市场，加强茶叶专业合作社建设，成立市级茶叶研发中心，在品牌创建、电商销售、茶艺表演等方面下功夫，做深产业链、延伸价值链。大力发展优质弱筋小麦产业，实现规模化种植、标准化生产、产业化发展，推动第一产业接二连三，联动发展，打造豫南沿淮弱筋小麦生产加工基地。到2020年，主要农产品加工转化率达到50%以上，建设一批农村一二三产业融合发展示范区。</w:t>
      </w:r>
    </w:p>
    <w:p>
      <w:pPr>
        <w:spacing w:line="580" w:lineRule="exact"/>
        <w:ind w:firstLine="626"/>
      </w:pPr>
      <w:r>
        <w:rPr>
          <w:b/>
          <w:bCs/>
          <w:szCs w:val="20"/>
        </w:rPr>
        <w:t>积极构建现代农业支撑体系。</w:t>
      </w:r>
      <w:r>
        <w:t>加快培育新型农业经营主体，在坚持和完善农村基本经营制度的基础上，规范引导农村土地经营权有序流转，发展多种形式的适度规模经营，提高耕种收综合机械化率。探索农村用益物权抵押贷款，开展大型农机具融资租赁并加快推广。加快农村产权制度改革，探索土地信用托管担保平台建设，试点土地经营股份合作，建立农村产权交易市场。加快农业科技及公共服务体制改革，建立农业科技服务云平台，推进农业科技协同创新联盟建设，积极构建农村“大众创业、万众创新”载体“星创天地”，积极发展精准农业和农产品电商，加强农业技术的组装集成和科技成果转化，促进传统农业的改造与升级，打造现代农业科技示范园区。完善农村金融组织体系，加强对现代农业发展的资金支持力度。积极推进大中小型水库、灌排体系等重大水利工程和小型农田水利设施建设，创新农田水利设施建设体制机制，解决好农田灌溉“最后一公里”问题，着力构建防洪抗旱减灾体系。加强气象为农服务体系建设，提高抗旱和保护生态能力。加强县乡农产品质量和食品安全监管能力建设，落实重要农产品生产基地、批发市场质量安全检验检测费用补助政策。健全食品安全监管综合协调制度，强化政府属地管理和生产经营主体责任，严格责任追究制度，严厉打击各类食品安全违法犯罪行为，坚决遏制重特大食品安全事故发生。</w:t>
      </w:r>
    </w:p>
    <w:p>
      <w:pPr>
        <w:spacing w:line="580" w:lineRule="exact"/>
        <w:ind w:firstLine="624"/>
      </w:pPr>
    </w:p>
    <w:tbl>
      <w:tblPr>
        <w:tblStyle w:val="3"/>
        <w:tblW w:w="827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8272"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eastAsia="仿宋_GB2312"/>
                <w:sz w:val="24"/>
              </w:rPr>
            </w:pPr>
            <w:r>
              <w:rPr>
                <w:rFonts w:eastAsia="方正小标宋_GBK"/>
                <w:spacing w:val="-8"/>
                <w:sz w:val="28"/>
                <w:szCs w:val="28"/>
              </w:rPr>
              <w:t xml:space="preserve">专栏4：现代农业支撑体系建设重点工程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jc w:val="center"/>
        </w:trPr>
        <w:tc>
          <w:tcPr>
            <w:tcW w:w="8272"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line="580" w:lineRule="exact"/>
              <w:rPr>
                <w:rFonts w:eastAsia="仿宋_GB2312"/>
                <w:sz w:val="24"/>
              </w:rPr>
            </w:pPr>
            <w:r>
              <w:rPr>
                <w:rFonts w:eastAsia="仿宋_GB2312"/>
                <w:b/>
                <w:bCs/>
                <w:sz w:val="24"/>
              </w:rPr>
              <w:t>农业科技支撑能力。</w:t>
            </w:r>
            <w:r>
              <w:rPr>
                <w:rFonts w:eastAsia="仿宋_GB2312"/>
                <w:sz w:val="24"/>
              </w:rPr>
              <w:t>开展粮食增产模式攻关，推进水稻工厂化育秧、机械化深松整地、测土配方施肥、主要农作物病虫害预警与防控等稳产增产和抗灾减灾关键技术的集成应用；推动精准作业、遥感监测、灾害预警、地理信息服务及物联网等现代信息技术应用；推广农业全程机械化。</w:t>
            </w:r>
          </w:p>
          <w:p>
            <w:pPr>
              <w:adjustRightInd w:val="0"/>
              <w:snapToGrid w:val="0"/>
              <w:spacing w:line="580" w:lineRule="exact"/>
              <w:rPr>
                <w:rFonts w:eastAsia="仿宋_GB2312"/>
                <w:sz w:val="24"/>
              </w:rPr>
            </w:pPr>
            <w:r>
              <w:rPr>
                <w:rFonts w:eastAsia="仿宋_GB2312"/>
                <w:b/>
                <w:bCs/>
                <w:sz w:val="24"/>
              </w:rPr>
              <w:t>现代种业支撑体系。</w:t>
            </w:r>
            <w:r>
              <w:rPr>
                <w:rFonts w:eastAsia="仿宋_GB2312"/>
                <w:sz w:val="24"/>
              </w:rPr>
              <w:t>重点实施袁隆平院士超级杂交稻“百千万”攻关示范基地建设工程，建设优质水稻、弱筋小麦、双低油菜生产基地。</w:t>
            </w:r>
          </w:p>
          <w:p>
            <w:pPr>
              <w:adjustRightInd w:val="0"/>
              <w:snapToGrid w:val="0"/>
              <w:spacing w:line="580" w:lineRule="exact"/>
              <w:rPr>
                <w:rFonts w:eastAsia="仿宋_GB2312"/>
                <w:sz w:val="24"/>
              </w:rPr>
            </w:pPr>
            <w:r>
              <w:rPr>
                <w:rFonts w:eastAsia="仿宋_GB2312"/>
                <w:b/>
                <w:bCs/>
                <w:sz w:val="24"/>
              </w:rPr>
              <w:t>农业基础设施支持体系。</w:t>
            </w:r>
            <w:r>
              <w:rPr>
                <w:rFonts w:eastAsia="仿宋_GB2312"/>
                <w:sz w:val="24"/>
              </w:rPr>
              <w:t>重点实施湖塘清淤、新建，中小型泵站改造，电灌站更新改造等项目。</w:t>
            </w:r>
          </w:p>
          <w:p>
            <w:pPr>
              <w:adjustRightInd w:val="0"/>
              <w:snapToGrid w:val="0"/>
              <w:spacing w:line="580" w:lineRule="exact"/>
              <w:rPr>
                <w:rFonts w:eastAsia="仿宋_GB2312"/>
                <w:sz w:val="24"/>
              </w:rPr>
            </w:pPr>
            <w:r>
              <w:rPr>
                <w:rFonts w:eastAsia="仿宋_GB2312"/>
                <w:b/>
                <w:bCs/>
                <w:sz w:val="24"/>
              </w:rPr>
              <w:t>优质农产品质量控制体系。</w:t>
            </w:r>
            <w:r>
              <w:rPr>
                <w:rFonts w:eastAsia="仿宋_GB2312"/>
                <w:sz w:val="24"/>
              </w:rPr>
              <w:t>推进农业全过程标准化生产，开展无公害农产品、绿色食品、有机农产品、农产品地理标志认证，建设一批品牌产品生产基地，建设肉类、蔬菜、中药材等主要产品流通追溯体系，建立全程可追溯、互联共享的农产品质量和食品安全信息平台。提升河南淮滨白酒质量检测中心综合检测能力，支持新县建设河南省木本油产品质量监督检验中心，谋划建设信阳（商城）农产品检测中心。</w:t>
            </w:r>
          </w:p>
        </w:tc>
      </w:tr>
    </w:tbl>
    <w:p>
      <w:pPr>
        <w:spacing w:line="580" w:lineRule="exact"/>
        <w:rPr>
          <w:rFonts w:eastAsia="仿宋_GB2312"/>
          <w:b/>
          <w:szCs w:val="20"/>
        </w:rPr>
      </w:pPr>
      <w:bookmarkStart w:id="29" w:name="_Toc467741663"/>
      <w:r>
        <w:rPr>
          <w:rFonts w:eastAsia="仿宋_GB2312"/>
          <w:szCs w:val="20"/>
        </w:rPr>
        <w:t xml:space="preserve">    </w:t>
      </w:r>
    </w:p>
    <w:p>
      <w:pPr>
        <w:spacing w:line="580" w:lineRule="exact"/>
        <w:ind w:firstLine="626"/>
      </w:pPr>
      <w:r>
        <w:rPr>
          <w:b/>
          <w:bCs/>
        </w:rPr>
        <w:t>实施“互联网+”现代农业行动</w:t>
      </w:r>
      <w:bookmarkEnd w:id="29"/>
      <w:bookmarkStart w:id="30" w:name="_Toc466043452"/>
      <w:r>
        <w:rPr>
          <w:b/>
          <w:bCs/>
        </w:rPr>
        <w:t xml:space="preserve"> 。</w:t>
      </w:r>
      <w:r>
        <w:t>加强农业信息基础设施建设，拓展农业信息使用范围，推进信息化与农业深度融合，为农业转型升级提供新动能。</w:t>
      </w:r>
      <w:r>
        <w:rPr>
          <w:b/>
          <w:bCs/>
        </w:rPr>
        <w:t>加强农业物联网应用</w:t>
      </w:r>
      <w:bookmarkEnd w:id="30"/>
      <w:r>
        <w:rPr>
          <w:b/>
          <w:bCs/>
        </w:rPr>
        <w:t>。</w:t>
      </w:r>
      <w:r>
        <w:t>大力推进物联网在农业生产中的应用，发展精准农业、智慧农业，建成一批大田种植、设施园艺、畜禽养殖、水产养殖物联网示范基地。实施农作物种植遥感监测、农情信息监测预警、农作物病虫监测预警、农产品产地质量安全监测和智能节水灌溉等精准化作业。大力推广养殖场环境智能监控系统和养殖个体体征智能监测系统，提高生产效率，降低养殖风险。大力推广水产业监测预警和专家诊断系统，实现水产养殖集约化、装备工程化、测控精准化和管理智能化。</w:t>
      </w:r>
      <w:bookmarkStart w:id="31" w:name="_Toc466043453"/>
      <w:r>
        <w:t>大力发展涉农电子商务</w:t>
      </w:r>
      <w:bookmarkEnd w:id="31"/>
      <w:r>
        <w:t>。制定实施农业电子商务培训计划和行动，发展一批与农业产业化集群相配套的农产品批发市场和电子商务实体，引导各类经营主体与电商企业对接，支持名特优、“一村一品”和乡村旅游资源入驻电商平台，培育“互联网+特色农产品”品牌企业，促进物流配送、冷链设施设备等发展。抓好国家级电子商务进农村综合示范县建设，推进省级综合示范县建设，加快建设一批县级电子商务运营中心、配送中心和服务站点。大力开展针对专业大户、农民专业合作社、家庭农场、龙头企业等的电子商务应用技术培训。到2020年，力争建成覆盖乡村的电商服务体系，电子商务成为农产品营销的重要渠道。</w:t>
      </w:r>
    </w:p>
    <w:p>
      <w:pPr>
        <w:spacing w:line="580" w:lineRule="exact"/>
        <w:ind w:firstLine="624"/>
      </w:pPr>
    </w:p>
    <w:p>
      <w:pPr>
        <w:keepNext/>
        <w:keepLines/>
        <w:spacing w:line="580" w:lineRule="exact"/>
        <w:jc w:val="center"/>
        <w:outlineLvl w:val="1"/>
        <w:rPr>
          <w:rFonts w:eastAsia="方正楷体_GBK"/>
          <w:b/>
          <w:bCs/>
        </w:rPr>
      </w:pPr>
      <w:bookmarkStart w:id="32" w:name="_Toc483496254"/>
      <w:bookmarkStart w:id="33" w:name="_Toc480812448"/>
      <w:r>
        <w:rPr>
          <w:rFonts w:eastAsia="方正楷体_GBK"/>
          <w:b/>
          <w:bCs/>
        </w:rPr>
        <w:t>第三节   加快建设高效的水利系统</w:t>
      </w:r>
      <w:bookmarkEnd w:id="32"/>
      <w:bookmarkEnd w:id="33"/>
    </w:p>
    <w:p>
      <w:pPr>
        <w:spacing w:line="580" w:lineRule="exact"/>
        <w:jc w:val="center"/>
        <w:rPr>
          <w:rFonts w:eastAsia="仿宋"/>
          <w:b/>
          <w:bCs/>
          <w:szCs w:val="20"/>
        </w:rPr>
      </w:pPr>
    </w:p>
    <w:p>
      <w:pPr>
        <w:spacing w:line="580" w:lineRule="exact"/>
        <w:rPr>
          <w:szCs w:val="20"/>
        </w:rPr>
      </w:pPr>
      <w:r>
        <w:rPr>
          <w:szCs w:val="20"/>
        </w:rPr>
        <w:t xml:space="preserve">    </w:t>
      </w:r>
      <w:r>
        <w:rPr>
          <w:b/>
          <w:szCs w:val="20"/>
        </w:rPr>
        <w:t>强化水利工程体系支撑。</w:t>
      </w:r>
      <w:r>
        <w:rPr>
          <w:szCs w:val="20"/>
        </w:rPr>
        <w:t>按照国家水利改革发展“十三五”规划、河南省水利发展“十三五”规划、淮河流域防洪规划等规划要求，突出抓好“千湖市”建设。加快推进水利控制性工程、病险水库水闸、河道整治及堤防加固、水系连通、水生态环境治理、水土保持综合治理、农田水利建设等水利工程建设。完善供水网络，加强水资源调配工程建设，实施农村饮水安全巩固提升工程。完善灌排体系，加快推进工程建设，增加有效灌溉面积。强化水利工程的保护与管理，发挥工程效益。完善水文水资源检测体系，建设涵盖地表水与地下水的各类水功能检测评价信息系统。完善防洪体系和排水体系，加强山洪地质灾害防治，提高城镇防洪标准，完成山洪灾害易发区预警预报系统建设。</w:t>
      </w:r>
    </w:p>
    <w:p>
      <w:pPr>
        <w:spacing w:line="580" w:lineRule="exact"/>
        <w:ind w:firstLine="626"/>
        <w:rPr>
          <w:szCs w:val="20"/>
        </w:rPr>
      </w:pPr>
      <w:r>
        <w:rPr>
          <w:b/>
          <w:szCs w:val="20"/>
        </w:rPr>
        <w:t>加强生态水系建设。</w:t>
      </w:r>
      <w:r>
        <w:rPr>
          <w:szCs w:val="20"/>
        </w:rPr>
        <w:t>以“水域通畅、水清宜人、水景辉映、水美城乡”为目标，整体规划中心城区和县城城市河湖水系水景，推进水系生态修复和景观美化，建设融城市水系和生态绿化为一体的“水美城市”。稳步推进县乡水生态文明体系建设，打造一批“水美乡村”。加快水生态环境工程建设，推进国家级水生态文明城市试点创建工作。开展水土保持、地表水污染治理、地下水保护、城市水源地保护、入河排污口综合整治等工程。全面推进城市河道治理和生态修复工程。完成中心城区和县城河道综合治理，逐步建立良好的水环境生态体系。全面推进“河长制”各项工作，健全河库（湖）管理保护长效机制，水资源、水生态、水环境得到明显改善，基本实现“河畅、水清、岸绿、景美”目标。</w:t>
      </w:r>
    </w:p>
    <w:p>
      <w:pPr>
        <w:spacing w:line="580" w:lineRule="exact"/>
        <w:ind w:firstLine="624"/>
        <w:rPr>
          <w:rFonts w:eastAsia="仿宋_GB2312"/>
          <w:szCs w:val="20"/>
        </w:rPr>
      </w:pPr>
    </w:p>
    <w:tbl>
      <w:tblPr>
        <w:tblStyle w:val="3"/>
        <w:tblW w:w="831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仿宋_GB2312"/>
                <w:sz w:val="24"/>
              </w:rPr>
            </w:pPr>
            <w:r>
              <w:rPr>
                <w:rFonts w:eastAsia="方正小标宋_GBK"/>
                <w:sz w:val="28"/>
              </w:rPr>
              <w:t>专栏5：水利重点工程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80" w:lineRule="exact"/>
              <w:rPr>
                <w:rFonts w:eastAsia="仿宋_GB2312"/>
                <w:sz w:val="24"/>
              </w:rPr>
            </w:pPr>
            <w:r>
              <w:rPr>
                <w:rFonts w:eastAsia="仿宋_GB2312"/>
                <w:b/>
                <w:bCs/>
                <w:sz w:val="24"/>
              </w:rPr>
              <w:t>重点水源工程。</w:t>
            </w:r>
            <w:r>
              <w:rPr>
                <w:rFonts w:eastAsia="仿宋_GB2312"/>
                <w:sz w:val="24"/>
              </w:rPr>
              <w:t>建成出山店水库，加快推进罗山张湾、光山袁湾等大型水库前期工作，积极推进一批中小型水库和“引九济石”等引水、调水工程。</w:t>
            </w:r>
          </w:p>
          <w:p>
            <w:pPr>
              <w:adjustRightInd w:val="0"/>
              <w:snapToGrid w:val="0"/>
              <w:spacing w:line="580" w:lineRule="exact"/>
              <w:rPr>
                <w:rFonts w:eastAsia="仿宋_GB2312"/>
                <w:sz w:val="24"/>
              </w:rPr>
            </w:pPr>
            <w:r>
              <w:rPr>
                <w:rFonts w:eastAsia="仿宋_GB2312"/>
                <w:b/>
                <w:bCs/>
                <w:sz w:val="24"/>
              </w:rPr>
              <w:t>大中型灌区建设工程。</w:t>
            </w:r>
            <w:r>
              <w:rPr>
                <w:rFonts w:eastAsia="仿宋_GB2312"/>
                <w:sz w:val="24"/>
              </w:rPr>
              <w:t>争取开工建设河南省大别山革命老区引淮供水灌溉工程，积极推进出山店大型灌区建设，持续抓好南湾、鲇鱼山、泼河、石山口、杨围孜、杏山等大中型灌区续建配套节水改造项目。</w:t>
            </w:r>
          </w:p>
          <w:p>
            <w:pPr>
              <w:adjustRightInd w:val="0"/>
              <w:snapToGrid w:val="0"/>
              <w:spacing w:line="580" w:lineRule="exact"/>
              <w:rPr>
                <w:rFonts w:eastAsia="仿宋_GB2312"/>
                <w:sz w:val="24"/>
              </w:rPr>
            </w:pPr>
            <w:r>
              <w:rPr>
                <w:rFonts w:eastAsia="仿宋_GB2312"/>
                <w:b/>
                <w:bCs/>
                <w:sz w:val="24"/>
              </w:rPr>
              <w:t>重点河流防洪治理工程。</w:t>
            </w:r>
            <w:r>
              <w:rPr>
                <w:rFonts w:eastAsia="仿宋_GB2312"/>
                <w:sz w:val="24"/>
              </w:rPr>
              <w:t>加快建设淮河干流一般堤防加固工程，推进大洪河、白露河（春河）等重要支流及中小河流治理工程、淮河流域重点平原洼地治理工程及山洪灾害防治工程。</w:t>
            </w:r>
          </w:p>
          <w:p>
            <w:pPr>
              <w:adjustRightInd w:val="0"/>
              <w:snapToGrid w:val="0"/>
              <w:spacing w:line="580" w:lineRule="exact"/>
              <w:rPr>
                <w:rFonts w:eastAsia="仿宋_GB2312"/>
                <w:sz w:val="24"/>
              </w:rPr>
            </w:pPr>
            <w:r>
              <w:rPr>
                <w:rFonts w:eastAsia="仿宋_GB2312"/>
                <w:b/>
                <w:bCs/>
                <w:sz w:val="24"/>
              </w:rPr>
              <w:t>生态水系治理工程。</w:t>
            </w:r>
            <w:r>
              <w:rPr>
                <w:rFonts w:eastAsia="仿宋_GB2312"/>
                <w:sz w:val="24"/>
              </w:rPr>
              <w:t>推进城市内河及</w:t>
            </w:r>
            <w:r>
              <w:rPr>
                <w:rFonts w:eastAsia="微软雅黑"/>
                <w:sz w:val="24"/>
              </w:rPr>
              <w:t>浉</w:t>
            </w:r>
            <w:r>
              <w:rPr>
                <w:rFonts w:eastAsia="仿宋_GB2312"/>
                <w:sz w:val="24"/>
              </w:rPr>
              <w:t>河、陶家河、</w:t>
            </w:r>
            <w:r>
              <w:rPr>
                <w:rFonts w:eastAsia="微软雅黑"/>
                <w:sz w:val="24"/>
              </w:rPr>
              <w:t>澺</w:t>
            </w:r>
            <w:r>
              <w:rPr>
                <w:rFonts w:eastAsia="仿宋_GB2312"/>
                <w:sz w:val="24"/>
              </w:rPr>
              <w:t>河、乌龙港、潢河、小黄河、官渡河、明河、朝天河等城市生态景观河道治理工程，积极推进淮河、闾河、白露河（春河）、洪河和饮马港水系连通工程。</w:t>
            </w:r>
          </w:p>
        </w:tc>
      </w:tr>
    </w:tbl>
    <w:p>
      <w:pPr>
        <w:keepNext/>
        <w:keepLines/>
        <w:spacing w:line="520" w:lineRule="exact"/>
        <w:jc w:val="center"/>
        <w:outlineLvl w:val="1"/>
        <w:rPr>
          <w:rFonts w:eastAsia="方正楷体_GBK"/>
          <w:b/>
          <w:bCs/>
        </w:rPr>
      </w:pPr>
      <w:bookmarkStart w:id="34" w:name="_Toc480812449"/>
      <w:bookmarkStart w:id="35" w:name="_Toc483496255"/>
      <w:r>
        <w:rPr>
          <w:rFonts w:eastAsia="方正楷体_GBK"/>
          <w:b/>
          <w:bCs/>
        </w:rPr>
        <w:t>第四节  加快农业生态文明建设</w:t>
      </w:r>
      <w:bookmarkEnd w:id="34"/>
      <w:bookmarkEnd w:id="35"/>
    </w:p>
    <w:p>
      <w:pPr>
        <w:spacing w:line="520" w:lineRule="exact"/>
        <w:rPr>
          <w:rFonts w:eastAsia="仿宋"/>
          <w:szCs w:val="20"/>
        </w:rPr>
      </w:pPr>
      <w:bookmarkStart w:id="36" w:name="_Toc466043447"/>
      <w:r>
        <w:rPr>
          <w:rFonts w:eastAsia="仿宋_GB2312"/>
          <w:szCs w:val="20"/>
        </w:rPr>
        <w:t xml:space="preserve">  </w:t>
      </w:r>
    </w:p>
    <w:bookmarkEnd w:id="36"/>
    <w:p>
      <w:pPr>
        <w:spacing w:line="520" w:lineRule="exact"/>
        <w:ind w:firstLine="624"/>
        <w:rPr>
          <w:szCs w:val="20"/>
        </w:rPr>
      </w:pPr>
      <w:r>
        <w:rPr>
          <w:szCs w:val="20"/>
        </w:rPr>
        <w:t>优化“三区一带”国土生态安全体系布局，南部山区重点保护现有森林资源，充分发挥森林的综合效益；中部丘岗区大力植树造林，提高林地生产力；北部平原区积极推进以‘三杉’（水杉、池杉、落羽杉）为主的农田防护林改建，建立稳定的农田防护林体系；沿淮建设生态保育带。实施大别山生态安全屏障系列工程,积极构建大别山生态安全空间格局。开展大规模国土绿化行动，实施林业生态市提升工程。完善天然林保护制度，全面禁止天然林商业性采伐，扩大退耕还林面积。全面加快山区生态体系、农田防护林体系等省级重点生态工程建设，重点推进森林抚育改造，健全林业生态文明体系，增加森林面积和蓄积量，持续提高林业生态承载能力，进一步提高全市森林覆盖率。实施大别山区营造林工程，建设种类多样、结构复杂、功能强大的山区森林植被。推进北部平原农区农田防护林改扩建，稳定和扩大退耕还林成果，建设带、林、网相结合，多树种、多层次稳固的平原农林复合生态系统，构筑粮食高产稳产生态屏障。推进林业产业化发展，建设一批特色经济林基地、花卉苗木基地和落羽杉繁育基地，加大大别山区珍稀植物的保护与发展。深入实施林木良种培育和林业科技创新工程。深化集体林权制度改革，推进国有林场改革。</w:t>
      </w:r>
    </w:p>
    <w:p>
      <w:pPr>
        <w:spacing w:line="520" w:lineRule="exact"/>
        <w:ind w:firstLine="624"/>
        <w:rPr>
          <w:szCs w:val="20"/>
        </w:rPr>
      </w:pPr>
      <w:r>
        <w:rPr>
          <w:bCs/>
          <w:szCs w:val="20"/>
        </w:rPr>
        <w:t>加强生态保护和修复。</w:t>
      </w:r>
      <w:r>
        <w:rPr>
          <w:szCs w:val="20"/>
        </w:rPr>
        <w:t>实施山水田林湖生态保护和修复工程，顺应自然规律，宜林则林，宜草则草，宜荒则荒，发挥自然生态系统自我调节和自我修复能力。加强水生态和湿地保护，积极开展南湾湖等重点湖泊河流生态环境修复，连通河湖库水系，加大淮滨淮南湿地等自然保护区基础设施投入和植被保护与修复，建立湿地生态补偿机制，开展退耕还湿、退养还滩，建设环湖沿河缓冲带和隔离带。推进水土流失综合治理、坡耕地综合治理、清洁型小流域治理工程。开展破损山体和工矿废弃地的综合整治，实施丘陵岗区、荒山、茶山等植被系统修复工程，减少水土流失。全面保护重要生物物种，严格保护野生动植物栖息地，实施濒危野生动植物抢救性保护工程和生物多样性保护行动计划，有效防范物种资源丧失和流失。加强土壤环境监测监管和污染治理能力建设。加强矿山地质环境恢复和治理，严格限制矿山开发对生态环境的破坏。加强地质遗迹保护。</w:t>
      </w:r>
    </w:p>
    <w:p>
      <w:pPr>
        <w:spacing w:line="520" w:lineRule="exact"/>
        <w:ind w:firstLine="624"/>
        <w:rPr>
          <w:szCs w:val="20"/>
        </w:rPr>
      </w:pPr>
      <w:r>
        <w:rPr>
          <w:szCs w:val="20"/>
        </w:rPr>
        <w:t>加强农村生态环境治理。加大土壤酸化治理力度，健全农田残膜回收再利用激励机制，严禁生产和使用厚度0.01mm以下地膜。加强土壤环境监测监管和污染治理能力建设。开展化肥农药使用量零增长行动。集成推广水肥一体化、机械深施等施肥模式，引导农民施用高效缓（控）释肥料、生物肥料和有机肥。集成应用全程农药减量增效技术，推广生物农药、高效低毒低残留农药和高效节药植保机械，发展装备精良、专业高效的病虫害防治专业化服务组织，扩大物理防治、生物防治面积。力争到2020年主要农作物测土配方施肥技术推广覆盖率100%，绿色防控覆盖率达到50%以上。</w:t>
      </w:r>
    </w:p>
    <w:p>
      <w:pPr>
        <w:spacing w:line="520" w:lineRule="exact"/>
        <w:ind w:firstLine="624"/>
      </w:pPr>
      <w:bookmarkStart w:id="37" w:name="_Toc466043450"/>
      <w:r>
        <w:rPr>
          <w:bCs/>
        </w:rPr>
        <w:t>推动农业废弃物资源化利用无害化处理</w:t>
      </w:r>
      <w:bookmarkEnd w:id="37"/>
      <w:r>
        <w:rPr>
          <w:bCs/>
        </w:rPr>
        <w:t>。</w:t>
      </w:r>
      <w:r>
        <w:t>推进畜禽粪污综合利用，推广污水减量、厌氧发酵、粪便堆肥等生态化治理模式，建立规模养殖粪污第三方治理与综合利用机制，支持建设规模化大型沼气工程和生物有机肥加工设施，引导农户施用有机肥。加快建设病死畜禽无害化处理设施，建立病死畜禽无害化收集处理体系。推动秸秆肥料化、饲料化、基料化、能源化、原料化应用，推进收储运输市场化，率先在大气污染防治重点区域基本实现全量化利用。深入探索农业资源高效利用、生态修复保护、突出问题治理、生态循环农业模式及推进机制，着力在制约可持续发展的关键环节和重点领域取得突破，积极创建国家可持续发展试验示范区。</w:t>
      </w:r>
    </w:p>
    <w:p>
      <w:pPr>
        <w:spacing w:line="520" w:lineRule="exact"/>
        <w:ind w:firstLine="615"/>
        <w:rPr>
          <w:szCs w:val="20"/>
        </w:rPr>
      </w:pPr>
      <w:r>
        <w:rPr>
          <w:szCs w:val="20"/>
        </w:rPr>
        <w:t>健全生态文明制度。构建政府主导、人大监督、司法介入、企业主体、社会参与的环境保护治理体系。建立完善生态环保地方性法规，全面落实生态保护红线管理、生态补偿、生态文明考核评价、生态环境损害赔偿和责任追究等制度。加快自然资源及其产品价格改革，推行环境污染第三方治理以及节能量、碳排放权、排污权和水权交易等市场化机制。建立覆盖所有固定污染源的企业排放许可制。建立环境行政执法与刑事司法相衔接的联动工作机制，建立健全环境信息公开和举报制度，积极探索环境保护公益诉讼制度，加大环境违法犯罪行为查处和惩罚力度。注重生态文化建设，开展生态修复和生态功能区教育普及等系列活动。加强生态价值观教育，提高全民生态文明意识，倡导合理消费，力戒奢侈浪费，培养全社会形成绿色消费、勤俭节约的良好社会风尚。</w:t>
      </w:r>
    </w:p>
    <w:tbl>
      <w:tblPr>
        <w:tblStyle w:val="3"/>
        <w:tblW w:w="830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0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仿宋_GB2312"/>
                <w:b/>
                <w:bCs/>
                <w:sz w:val="24"/>
              </w:rPr>
            </w:pPr>
            <w:r>
              <w:rPr>
                <w:rFonts w:eastAsia="方正小标宋_GBK"/>
                <w:sz w:val="28"/>
              </w:rPr>
              <w:t>专栏6：生态建设重大工程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30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80" w:lineRule="exact"/>
              <w:rPr>
                <w:rFonts w:eastAsia="仿宋_GB2312"/>
                <w:sz w:val="24"/>
              </w:rPr>
            </w:pPr>
            <w:r>
              <w:rPr>
                <w:rFonts w:eastAsia="仿宋_GB2312"/>
                <w:b/>
                <w:bCs/>
                <w:sz w:val="24"/>
              </w:rPr>
              <w:t>林业生态建设。</w:t>
            </w:r>
            <w:r>
              <w:rPr>
                <w:rFonts w:eastAsia="仿宋_GB2312"/>
                <w:sz w:val="24"/>
              </w:rPr>
              <w:t>实施天然林保护、退耕还林、荒山绿化等林业重点工程。推进森林碳汇等工程。</w:t>
            </w:r>
          </w:p>
          <w:p>
            <w:pPr>
              <w:adjustRightInd w:val="0"/>
              <w:snapToGrid w:val="0"/>
              <w:spacing w:line="580" w:lineRule="exact"/>
              <w:rPr>
                <w:rFonts w:eastAsia="仿宋_GB2312"/>
                <w:sz w:val="24"/>
              </w:rPr>
            </w:pPr>
            <w:r>
              <w:rPr>
                <w:rFonts w:eastAsia="仿宋_GB2312"/>
                <w:b/>
                <w:bCs/>
                <w:sz w:val="24"/>
              </w:rPr>
              <w:t>沿淮生态保育带建设。</w:t>
            </w:r>
            <w:r>
              <w:rPr>
                <w:rFonts w:eastAsia="仿宋_GB2312"/>
                <w:sz w:val="24"/>
              </w:rPr>
              <w:t>全面实施沿淮河湿地生态保护和修复，稳步实施退耕还林，维护淮河安全。建设防护林、生态经济林，开展生态修复，保护生物多样性，构建沿淮河综合性生态保育带。保护大别山优质种质资源，建设国家级水产种质资源保护区。</w:t>
            </w:r>
          </w:p>
          <w:p>
            <w:pPr>
              <w:adjustRightInd w:val="0"/>
              <w:snapToGrid w:val="0"/>
              <w:spacing w:line="580" w:lineRule="exact"/>
              <w:rPr>
                <w:rFonts w:eastAsia="仿宋_GB2312"/>
                <w:sz w:val="24"/>
              </w:rPr>
            </w:pPr>
            <w:r>
              <w:rPr>
                <w:rFonts w:eastAsia="仿宋_GB2312"/>
                <w:b/>
                <w:bCs/>
                <w:sz w:val="24"/>
              </w:rPr>
              <w:t>水土保持和生态修复。</w:t>
            </w:r>
            <w:r>
              <w:rPr>
                <w:rFonts w:eastAsia="仿宋_GB2312"/>
                <w:sz w:val="24"/>
              </w:rPr>
              <w:t>重点实施淮河干、支流水土流失防治区的水土保持工程项目，实施南湾、泼河、五岳等水库上游地区水土保持工程，加大对矿山地质环境的整治力度。推进息县淮河国家湿地公园、淮滨淮南湿地建设，支持商城、新县、淮滨、罗山等建设国家重点生态保护示范区。</w:t>
            </w:r>
          </w:p>
        </w:tc>
      </w:tr>
    </w:tbl>
    <w:p>
      <w:pPr>
        <w:keepNext/>
        <w:keepLines/>
        <w:spacing w:line="580" w:lineRule="exact"/>
        <w:jc w:val="center"/>
        <w:outlineLvl w:val="1"/>
        <w:rPr>
          <w:rFonts w:hint="eastAsia" w:eastAsia="方正楷体_GBK"/>
          <w:b/>
          <w:bCs/>
        </w:rPr>
      </w:pPr>
      <w:bookmarkStart w:id="38" w:name="_Toc483496256"/>
      <w:bookmarkStart w:id="39" w:name="_Toc480812450"/>
    </w:p>
    <w:p>
      <w:pPr>
        <w:keepNext/>
        <w:keepLines/>
        <w:spacing w:line="580" w:lineRule="exact"/>
        <w:jc w:val="center"/>
        <w:outlineLvl w:val="1"/>
        <w:rPr>
          <w:rFonts w:eastAsia="方正楷体_GBK"/>
          <w:b/>
          <w:bCs/>
        </w:rPr>
      </w:pPr>
      <w:r>
        <w:rPr>
          <w:rFonts w:eastAsia="方正楷体_GBK"/>
          <w:b/>
          <w:bCs/>
        </w:rPr>
        <w:t>第五节   推进全国农村改革试验区建设</w:t>
      </w:r>
      <w:bookmarkEnd w:id="38"/>
      <w:bookmarkEnd w:id="39"/>
    </w:p>
    <w:p>
      <w:pPr>
        <w:spacing w:line="580" w:lineRule="exact"/>
        <w:jc w:val="center"/>
        <w:rPr>
          <w:rFonts w:eastAsia="楷体_GB2312"/>
          <w:szCs w:val="20"/>
        </w:rPr>
      </w:pPr>
    </w:p>
    <w:p>
      <w:pPr>
        <w:spacing w:line="580" w:lineRule="exact"/>
        <w:ind w:firstLine="624"/>
        <w:rPr>
          <w:szCs w:val="20"/>
        </w:rPr>
      </w:pPr>
      <w:r>
        <w:rPr>
          <w:szCs w:val="20"/>
        </w:rPr>
        <w:t>注重农村改革的系统性、整体性、协同性，加快农业发展方式转变，健全农业可持续发展和农民持续增收的体制机制，着力破除城乡二元结构的体制障碍，重点在深化集体林权制度改</w:t>
      </w:r>
      <w:r>
        <w:rPr>
          <w:spacing w:val="-20"/>
          <w:szCs w:val="20"/>
        </w:rPr>
        <w:t>革、改</w:t>
      </w:r>
      <w:r>
        <w:rPr>
          <w:szCs w:val="20"/>
        </w:rPr>
        <w:t>进农业补贴办</w:t>
      </w:r>
      <w:r>
        <w:rPr>
          <w:spacing w:val="-20"/>
          <w:szCs w:val="20"/>
        </w:rPr>
        <w:t>法、涉</w:t>
      </w:r>
      <w:r>
        <w:rPr>
          <w:szCs w:val="20"/>
        </w:rPr>
        <w:t>农建设性资金整</w:t>
      </w:r>
      <w:r>
        <w:rPr>
          <w:spacing w:val="-20"/>
          <w:szCs w:val="20"/>
        </w:rPr>
        <w:t>合、精</w:t>
      </w:r>
      <w:r>
        <w:rPr>
          <w:szCs w:val="20"/>
        </w:rPr>
        <w:t>准扶贫开发综合改革、重要农产品收入保险试验改革等五个方面积极探</w:t>
      </w:r>
      <w:r>
        <w:rPr>
          <w:spacing w:val="-20"/>
          <w:szCs w:val="20"/>
        </w:rPr>
        <w:t>索，为</w:t>
      </w:r>
      <w:r>
        <w:rPr>
          <w:szCs w:val="20"/>
        </w:rPr>
        <w:t>全国农村改革积累经验。</w:t>
      </w:r>
    </w:p>
    <w:tbl>
      <w:tblPr>
        <w:tblStyle w:val="3"/>
        <w:tblW w:w="822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jc w:val="center"/>
        </w:trPr>
        <w:tc>
          <w:tcPr>
            <w:tcW w:w="8220" w:type="dxa"/>
            <w:tcBorders>
              <w:top w:val="single" w:color="000000" w:sz="4" w:space="0"/>
              <w:left w:val="single" w:color="000000" w:sz="4" w:space="0"/>
              <w:bottom w:val="single" w:color="000000" w:sz="4" w:space="0"/>
              <w:right w:val="single" w:color="000000" w:sz="4" w:space="0"/>
            </w:tcBorders>
            <w:vAlign w:val="center"/>
          </w:tcPr>
          <w:p>
            <w:pPr>
              <w:spacing w:line="580" w:lineRule="exact"/>
              <w:rPr>
                <w:rFonts w:eastAsia="方正小标宋_GBK"/>
                <w:sz w:val="24"/>
              </w:rPr>
            </w:pPr>
            <w:r>
              <w:rPr>
                <w:rFonts w:eastAsia="方正小标宋_GBK"/>
                <w:sz w:val="28"/>
              </w:rPr>
              <w:t xml:space="preserve">专栏7：农村改革试验任务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5" w:hRule="atLeast"/>
          <w:jc w:val="center"/>
        </w:trPr>
        <w:tc>
          <w:tcPr>
            <w:tcW w:w="8220"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line="580" w:lineRule="exact"/>
              <w:rPr>
                <w:rFonts w:eastAsia="仿宋_GB2312"/>
                <w:sz w:val="24"/>
              </w:rPr>
            </w:pPr>
            <w:r>
              <w:rPr>
                <w:rFonts w:eastAsia="仿宋_GB2312"/>
                <w:b/>
                <w:bCs/>
                <w:sz w:val="24"/>
              </w:rPr>
              <w:t>深化集体林权制度改革。</w:t>
            </w:r>
            <w:r>
              <w:rPr>
                <w:rFonts w:eastAsia="仿宋_GB2312"/>
                <w:sz w:val="24"/>
              </w:rPr>
              <w:t>在坚持家庭承包经营长久不变的基础上，探索开展集体林地所有权、承包权、经营权“三权分离”林权管理新模式；探索林业要素市场服务新规范；探索公益林管理经营新机制；探索建立规范林权流转新制度。</w:t>
            </w:r>
          </w:p>
          <w:p>
            <w:pPr>
              <w:adjustRightInd w:val="0"/>
              <w:snapToGrid w:val="0"/>
              <w:spacing w:line="580" w:lineRule="exact"/>
              <w:rPr>
                <w:rFonts w:eastAsia="仿宋_GB2312"/>
                <w:sz w:val="24"/>
              </w:rPr>
            </w:pPr>
            <w:r>
              <w:rPr>
                <w:rFonts w:eastAsia="仿宋_GB2312"/>
                <w:b/>
                <w:bCs/>
                <w:sz w:val="24"/>
              </w:rPr>
              <w:t>改进农业补贴办法。</w:t>
            </w:r>
            <w:r>
              <w:rPr>
                <w:rFonts w:eastAsia="仿宋_GB2312"/>
                <w:sz w:val="24"/>
              </w:rPr>
              <w:t>将种粮农民直接补贴、良种补贴、农资综合补贴合并为农业支持保护补贴，新增补贴向粮食等重要农产品、新型农业经营主体、主产区倾斜。开展按实际粮食播种面积或产量对生产者补贴，提高补贴的精准性、指向性。对流转土地50亩以上从事粮食生产的新型农业经营主体，按实际流转面积给予适当奖补。加大农机购置补贴力度，完善补贴办法，推进农机报废更新补贴。强化农业防灾减灾稳产增产关键技术补助。实施畜牧良种补贴政策。</w:t>
            </w:r>
          </w:p>
          <w:p>
            <w:pPr>
              <w:adjustRightInd w:val="0"/>
              <w:snapToGrid w:val="0"/>
              <w:spacing w:line="580" w:lineRule="exact"/>
              <w:rPr>
                <w:rFonts w:eastAsia="仿宋_GB2312"/>
                <w:sz w:val="24"/>
              </w:rPr>
            </w:pPr>
            <w:r>
              <w:rPr>
                <w:rFonts w:eastAsia="仿宋_GB2312"/>
                <w:b/>
                <w:bCs/>
                <w:sz w:val="24"/>
              </w:rPr>
              <w:t>涉农建设性资金整合。</w:t>
            </w:r>
            <w:r>
              <w:rPr>
                <w:rFonts w:eastAsia="仿宋_GB2312"/>
                <w:sz w:val="24"/>
              </w:rPr>
              <w:t>建立县级层面涉农建设性资金整合协调机制；明确涉农资金整合的重点，主要整合不同渠道下达但建设内容相近、用途相同、明显交叉重复的涉农资金；注重发挥规划的引领作用；探索完善涉农资金信息公开和监管制度；创新农村小型基础设施建设机制。</w:t>
            </w:r>
          </w:p>
          <w:p>
            <w:pPr>
              <w:adjustRightInd w:val="0"/>
              <w:snapToGrid w:val="0"/>
              <w:spacing w:line="580" w:lineRule="exact"/>
              <w:rPr>
                <w:rFonts w:eastAsia="仿宋_GB2312"/>
                <w:sz w:val="24"/>
              </w:rPr>
            </w:pPr>
            <w:r>
              <w:rPr>
                <w:rFonts w:eastAsia="仿宋_GB2312"/>
                <w:b/>
                <w:bCs/>
                <w:sz w:val="24"/>
              </w:rPr>
              <w:t>精准扶贫开发综合改革。</w:t>
            </w:r>
            <w:r>
              <w:rPr>
                <w:rFonts w:eastAsia="仿宋_GB2312"/>
                <w:sz w:val="24"/>
              </w:rPr>
              <w:t>创新精准扶贫工作机制、扶贫资金管理和监督机制、金融服务机制、定点帮扶机制、贫困县考核机制、县级党委政府主体责任机制，构建扶贫投入模式、技能培训模式、搬迁扶贫模式、高效农田模式、产业发展模式、连片开发模式，力争在3-5年时间内取得突破，建立形成一套规范化制度和有效的工作机制。</w:t>
            </w:r>
          </w:p>
          <w:p>
            <w:pPr>
              <w:adjustRightInd w:val="0"/>
              <w:snapToGrid w:val="0"/>
              <w:spacing w:line="580" w:lineRule="exact"/>
              <w:rPr>
                <w:rFonts w:eastAsia="仿宋_GB2312"/>
                <w:sz w:val="24"/>
              </w:rPr>
            </w:pPr>
            <w:r>
              <w:rPr>
                <w:rFonts w:eastAsia="仿宋_GB2312"/>
                <w:b/>
                <w:bCs/>
                <w:sz w:val="24"/>
              </w:rPr>
              <w:t>重要农产品收入保险试验改革。</w:t>
            </w:r>
            <w:r>
              <w:rPr>
                <w:rFonts w:eastAsia="仿宋_GB2312"/>
                <w:sz w:val="24"/>
              </w:rPr>
              <w:t>加快推进农业供给侧改革，提高农业保险保障水平，稳定主粮作物生产效益，增加地方特色农产品收入，调动农民生产和参保积极性，进一步扩大农业保险覆盖面，稳步提高特色农产品参保率，建立健全农业支持保护体系，保障国家粮食安全和重要农产品供给，助力扶贫攻坚。</w:t>
            </w:r>
          </w:p>
        </w:tc>
      </w:tr>
    </w:tbl>
    <w:p>
      <w:pPr>
        <w:keepNext/>
        <w:keepLines/>
        <w:spacing w:line="580" w:lineRule="exact"/>
        <w:jc w:val="center"/>
        <w:outlineLvl w:val="1"/>
        <w:rPr>
          <w:rFonts w:eastAsia="方正楷体_GBK"/>
          <w:b/>
          <w:bCs/>
        </w:rPr>
      </w:pPr>
      <w:bookmarkStart w:id="40" w:name="_Toc480812451"/>
      <w:bookmarkStart w:id="41" w:name="_Toc483496257"/>
      <w:r>
        <w:rPr>
          <w:rFonts w:eastAsia="方正楷体_GBK"/>
          <w:b/>
          <w:bCs/>
        </w:rPr>
        <w:t>第六节   全面改善农村民生</w:t>
      </w:r>
      <w:bookmarkEnd w:id="40"/>
      <w:bookmarkEnd w:id="41"/>
      <w:bookmarkStart w:id="42" w:name="_Toc466043456"/>
    </w:p>
    <w:p>
      <w:pPr>
        <w:spacing w:line="580" w:lineRule="exact"/>
        <w:jc w:val="center"/>
        <w:rPr>
          <w:rFonts w:eastAsia="仿宋_GB2312"/>
          <w:bCs/>
          <w:szCs w:val="20"/>
        </w:rPr>
      </w:pPr>
    </w:p>
    <w:p>
      <w:pPr>
        <w:spacing w:line="580" w:lineRule="exact"/>
        <w:ind w:firstLine="624"/>
        <w:rPr>
          <w:szCs w:val="20"/>
        </w:rPr>
      </w:pPr>
      <w:r>
        <w:rPr>
          <w:szCs w:val="20"/>
        </w:rPr>
        <w:t>坚持守住底线、突出重点，进一步完善农村基础设施，改善农村人居环境，不断提高公共服务共建能力和共享水平，使改革发展成果更多惠及广大农民群众。</w:t>
      </w:r>
    </w:p>
    <w:p>
      <w:pPr>
        <w:spacing w:line="580" w:lineRule="exact"/>
        <w:ind w:firstLine="626"/>
      </w:pPr>
      <w:bookmarkStart w:id="43" w:name="_Toc483496258"/>
      <w:bookmarkStart w:id="44" w:name="_Toc480794199"/>
      <w:bookmarkStart w:id="45" w:name="_Toc480812452"/>
      <w:r>
        <w:rPr>
          <w:b/>
          <w:bCs/>
        </w:rPr>
        <w:t>坚决打赢脱贫攻坚战</w:t>
      </w:r>
      <w:bookmarkEnd w:id="42"/>
      <w:r>
        <w:rPr>
          <w:b/>
          <w:bCs/>
        </w:rPr>
        <w:t>。</w:t>
      </w:r>
      <w:bookmarkEnd w:id="43"/>
      <w:bookmarkEnd w:id="44"/>
      <w:bookmarkEnd w:id="45"/>
      <w:r>
        <w:t>紧盯“两不愁三保障”目标，坚持精准扶贫、精准脱贫，对扶贫资源精确配置，对贫困户精准扶持，对贫困人口精细管理。以增加贫困人口收入为核心，采取转移就业、产业扶持、易地搬迁、社会保障、特殊救助等途径，突出教育、交通运输、医疗卫生、水利、电网等领域专项扶贫，坚持扶贫与扶志、扶智并举，打好脱贫攻坚“组合拳”，做到精准帮扶与集中连片特困地区开发紧密结合，扶贫开发与经济社会发展相互促进、与生态保护协调并重、与社会保障有效衔接。到2020年，确保完成29083人建档立卡农村贫困人口的易地扶贫搬迁任务，完成30.96万农村贫困人口稳定脱贫。</w:t>
      </w:r>
    </w:p>
    <w:p>
      <w:pPr>
        <w:spacing w:line="580" w:lineRule="exact"/>
        <w:ind w:firstLine="626"/>
      </w:pPr>
      <w:bookmarkStart w:id="46" w:name="_Toc466043457"/>
      <w:bookmarkStart w:id="47" w:name="_Toc480794200"/>
      <w:bookmarkStart w:id="48" w:name="_Toc480812453"/>
      <w:bookmarkStart w:id="49" w:name="_Toc483496259"/>
      <w:r>
        <w:rPr>
          <w:b/>
          <w:bCs/>
        </w:rPr>
        <w:t>加强农村公共设施和服务体系建设</w:t>
      </w:r>
      <w:bookmarkEnd w:id="46"/>
      <w:r>
        <w:rPr>
          <w:b/>
          <w:bCs/>
        </w:rPr>
        <w:t>。</w:t>
      </w:r>
      <w:bookmarkEnd w:id="47"/>
      <w:bookmarkEnd w:id="48"/>
      <w:bookmarkEnd w:id="49"/>
      <w:r>
        <w:t>健全农村基础设施投入长效机制，将农村公共设施纳入区域性公共设施整体规划，建立覆盖城乡、有效衔接的基础设施和公共服务设施建设和管理运行体制，推进交通、消防、供水、供电、信息、污水垃圾处理等基础设施向农村延伸对接，推动城市基本公共服务和社会保障向农村延伸覆盖，生产生活社会服务网络向农村延伸发展，促进城乡公共资源均衡配置，提升城乡基本公共服务均等化水平。建立城乡统一、重在农村的义务教育经费保障机制，实施乡村教师支持计划，加强对留守儿童的教育和服务。加强农村卫生人才队伍建设，大力培养全科医生，提升农村整体医疗卫生条件。</w:t>
      </w:r>
    </w:p>
    <w:p>
      <w:pPr>
        <w:spacing w:line="580" w:lineRule="exact"/>
        <w:ind w:firstLine="626"/>
        <w:rPr>
          <w:b/>
          <w:szCs w:val="20"/>
        </w:rPr>
      </w:pPr>
      <w:bookmarkStart w:id="50" w:name="_Toc466043458"/>
      <w:bookmarkStart w:id="51" w:name="_Toc480794201"/>
      <w:bookmarkStart w:id="52" w:name="_Toc480812454"/>
      <w:r>
        <w:rPr>
          <w:b/>
          <w:szCs w:val="20"/>
        </w:rPr>
        <w:t>有序推进新农村建设。</w:t>
      </w:r>
      <w:r>
        <w:rPr>
          <w:szCs w:val="20"/>
        </w:rPr>
        <w:t>统筹考虑不同资源禀赋、区位条件、人文积淀和经济社会发展水平以及产业发展基础和前景，有序推进新农村建设，科学合理规划居住、产业、生态和公共设施布局。积极稳妥推进新农村引导点建设，配套完善基础设施和公共服务设施。继续实施规模化集中供水，到2020年农村集中供水率达到73%以上。提升农村公共服务能力，加强农村基层卫生队伍、师资队伍建设。</w:t>
      </w:r>
    </w:p>
    <w:p>
      <w:pPr>
        <w:spacing w:line="580" w:lineRule="exact"/>
        <w:ind w:firstLine="626"/>
      </w:pPr>
      <w:bookmarkStart w:id="53" w:name="_Toc483496260"/>
      <w:r>
        <w:rPr>
          <w:b/>
          <w:bCs/>
        </w:rPr>
        <w:t>加快推进美丽乡村建设</w:t>
      </w:r>
      <w:bookmarkEnd w:id="50"/>
      <w:r>
        <w:rPr>
          <w:b/>
          <w:bCs/>
        </w:rPr>
        <w:t>。</w:t>
      </w:r>
      <w:bookmarkEnd w:id="51"/>
      <w:bookmarkEnd w:id="52"/>
      <w:bookmarkEnd w:id="53"/>
      <w:r>
        <w:t>实施改善农村人居环境五年行动计划，抓好农村垃圾、污水治理，持续推进农村畅通、净化、绿化、亮化、文化五大工程建设，建设一批美丽宜居村庄。优先在交通干线、旅游线路沿线选择自然田园风貌、传统文化等条件较好的特色自然村开展美丽宜居、宜游乡村示范创建。加强历史文化传统村落保护，保持乡村风貌、民族文化和地域文化特色。争取到2020年，60%以上的村庄达到美丽乡村建设要求，40%以上的行政村建设成为农村人居环境改善示范村，有条件的县形成2-3条美丽乡村示范带，逐步实现全区域美丽乡村建设目标，使广大农村道路畅通、绿树成荫、整洁明亮、文化生活丰富、美丽宜居，农民过上全面小康的新生活。</w:t>
      </w:r>
    </w:p>
    <w:tbl>
      <w:tblPr>
        <w:tblStyle w:val="3"/>
        <w:tblpPr w:leftFromText="180" w:rightFromText="180" w:vertAnchor="text" w:horzAnchor="page" w:tblpX="1572" w:tblpY="437"/>
        <w:tblOverlap w:val="never"/>
        <w:tblW w:w="86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86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小标宋_GBK" w:eastAsia="方正小标宋_GBK"/>
                <w:sz w:val="28"/>
                <w:szCs w:val="28"/>
              </w:rPr>
            </w:pPr>
            <w:r>
              <w:rPr>
                <w:rFonts w:hint="eastAsia" w:ascii="方正小标宋_GBK" w:eastAsia="方正小标宋_GBK"/>
                <w:bCs/>
                <w:sz w:val="28"/>
                <w:szCs w:val="28"/>
              </w:rPr>
              <w:t>专栏8：农村基础设施和公共服务设施建设重点工程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8670" w:type="dxa"/>
            <w:tcBorders>
              <w:top w:val="single" w:color="auto" w:sz="4" w:space="0"/>
              <w:left w:val="single" w:color="auto" w:sz="4" w:space="0"/>
              <w:right w:val="single" w:color="auto" w:sz="4" w:space="0"/>
            </w:tcBorders>
            <w:vAlign w:val="top"/>
          </w:tcPr>
          <w:p>
            <w:pPr>
              <w:adjustRightInd w:val="0"/>
              <w:snapToGrid w:val="0"/>
              <w:spacing w:line="460" w:lineRule="exact"/>
              <w:rPr>
                <w:rFonts w:eastAsia="仿宋_GB2312"/>
                <w:b/>
                <w:bCs/>
                <w:sz w:val="24"/>
              </w:rPr>
            </w:pPr>
            <w:r>
              <w:rPr>
                <w:rFonts w:eastAsia="仿宋_GB2312"/>
                <w:b/>
                <w:bCs/>
                <w:sz w:val="24"/>
              </w:rPr>
              <w:t>农村公路。</w:t>
            </w:r>
            <w:r>
              <w:rPr>
                <w:rFonts w:eastAsia="仿宋_GB2312"/>
                <w:bCs/>
                <w:sz w:val="24"/>
              </w:rPr>
              <w:t>农村公路铺装率达到65%以上，等级公路达到75%左右，农村公路里程数达到20200公里左右。</w:t>
            </w:r>
          </w:p>
          <w:p>
            <w:pPr>
              <w:adjustRightInd w:val="0"/>
              <w:snapToGrid w:val="0"/>
              <w:spacing w:line="460" w:lineRule="exact"/>
              <w:rPr>
                <w:rFonts w:eastAsia="仿宋_GB2312"/>
                <w:bCs/>
                <w:sz w:val="24"/>
              </w:rPr>
            </w:pPr>
            <w:r>
              <w:rPr>
                <w:rFonts w:eastAsia="仿宋_GB2312"/>
                <w:b/>
                <w:bCs/>
                <w:sz w:val="24"/>
              </w:rPr>
              <w:t>农村集中供水。</w:t>
            </w:r>
            <w:r>
              <w:rPr>
                <w:rFonts w:eastAsia="仿宋_GB2312"/>
                <w:bCs/>
                <w:sz w:val="24"/>
              </w:rPr>
              <w:t>继续实施规模化集中供水，到2020年农村集中供水率达到73%以上。</w:t>
            </w:r>
          </w:p>
          <w:p>
            <w:pPr>
              <w:adjustRightInd w:val="0"/>
              <w:snapToGrid w:val="0"/>
              <w:spacing w:line="460" w:lineRule="exact"/>
              <w:rPr>
                <w:rFonts w:eastAsia="仿宋_GB2312"/>
                <w:bCs/>
                <w:sz w:val="24"/>
              </w:rPr>
            </w:pPr>
            <w:r>
              <w:rPr>
                <w:rFonts w:eastAsia="仿宋_GB2312"/>
                <w:b/>
                <w:bCs/>
                <w:sz w:val="24"/>
              </w:rPr>
              <w:t>农村电力。</w:t>
            </w:r>
            <w:r>
              <w:rPr>
                <w:rFonts w:eastAsia="仿宋_GB2312"/>
                <w:bCs/>
                <w:sz w:val="24"/>
              </w:rPr>
              <w:t>实施城乡配电网建设改造、农田机井通电等工程，实现所有乡镇35千伏及以上变电站、所有自然村10千伏台区全覆盖。</w:t>
            </w:r>
          </w:p>
          <w:p>
            <w:pPr>
              <w:adjustRightInd w:val="0"/>
              <w:snapToGrid w:val="0"/>
              <w:spacing w:line="460" w:lineRule="exact"/>
              <w:rPr>
                <w:rFonts w:eastAsia="仿宋_GB2312"/>
                <w:bCs/>
                <w:sz w:val="24"/>
              </w:rPr>
            </w:pPr>
            <w:r>
              <w:rPr>
                <w:rFonts w:eastAsia="仿宋_GB2312"/>
                <w:b/>
                <w:bCs/>
                <w:sz w:val="24"/>
              </w:rPr>
              <w:t>农村危房改造。</w:t>
            </w:r>
            <w:r>
              <w:rPr>
                <w:rFonts w:eastAsia="仿宋_GB2312"/>
                <w:bCs/>
                <w:sz w:val="24"/>
              </w:rPr>
              <w:t>全面完成农村现有贫困户危房改造。</w:t>
            </w:r>
          </w:p>
          <w:p>
            <w:pPr>
              <w:adjustRightInd w:val="0"/>
              <w:snapToGrid w:val="0"/>
              <w:spacing w:line="460" w:lineRule="exact"/>
              <w:rPr>
                <w:rFonts w:eastAsia="仿宋_GB2312"/>
                <w:b/>
                <w:bCs/>
                <w:sz w:val="24"/>
              </w:rPr>
            </w:pPr>
            <w:r>
              <w:rPr>
                <w:rFonts w:eastAsia="仿宋_GB2312"/>
                <w:b/>
                <w:bCs/>
                <w:sz w:val="24"/>
              </w:rPr>
              <w:t>农村生活污水垃圾处理。</w:t>
            </w:r>
            <w:r>
              <w:rPr>
                <w:rFonts w:eastAsia="仿宋_GB2312"/>
                <w:bCs/>
                <w:sz w:val="24"/>
              </w:rPr>
              <w:t>重点推进农村垃圾、污水治理，逐步实现管网通、沟渠通、道路通和集中收集垃圾、集中汇集污水、集中无害化处理。</w:t>
            </w:r>
          </w:p>
          <w:p>
            <w:pPr>
              <w:adjustRightInd w:val="0"/>
              <w:snapToGrid w:val="0"/>
              <w:spacing w:line="460" w:lineRule="exact"/>
              <w:rPr>
                <w:rFonts w:eastAsia="仿宋_GB2312"/>
                <w:b/>
                <w:bCs/>
                <w:sz w:val="24"/>
              </w:rPr>
            </w:pPr>
            <w:r>
              <w:rPr>
                <w:rFonts w:eastAsia="仿宋_GB2312"/>
                <w:b/>
                <w:bCs/>
                <w:sz w:val="24"/>
              </w:rPr>
              <w:t>农村公共服务设施建设。</w:t>
            </w:r>
            <w:r>
              <w:rPr>
                <w:rFonts w:eastAsia="仿宋_GB2312"/>
                <w:bCs/>
                <w:sz w:val="24"/>
              </w:rPr>
              <w:t>推进义务教育学校、基层医疗卫生机构标准化建设，建设改造一批农村寄宿制学校、乡镇中心幼儿园、农村留守儿童活动中心、健身文化广场、农村便民服务中心等。</w:t>
            </w:r>
          </w:p>
          <w:p>
            <w:pPr>
              <w:adjustRightInd w:val="0"/>
              <w:snapToGrid w:val="0"/>
              <w:spacing w:line="460" w:lineRule="exact"/>
              <w:rPr>
                <w:rFonts w:eastAsia="仿宋_GB2312"/>
                <w:b/>
                <w:bCs/>
                <w:sz w:val="28"/>
                <w:szCs w:val="28"/>
              </w:rPr>
            </w:pPr>
            <w:r>
              <w:rPr>
                <w:rFonts w:eastAsia="仿宋_GB2312"/>
                <w:b/>
                <w:bCs/>
                <w:sz w:val="24"/>
              </w:rPr>
              <w:t>农村文化建设。</w:t>
            </w:r>
            <w:r>
              <w:rPr>
                <w:rFonts w:eastAsia="仿宋_GB2312"/>
                <w:bCs/>
                <w:sz w:val="24"/>
              </w:rPr>
              <w:t>深入实施舞台艺术送农民、农家书屋、农村体育健身、农村数字电影放映等工程。</w:t>
            </w:r>
          </w:p>
        </w:tc>
      </w:tr>
    </w:tbl>
    <w:p>
      <w:pPr>
        <w:spacing w:line="580" w:lineRule="exact"/>
        <w:rPr>
          <w:rFonts w:eastAsia="仿宋_GB2312"/>
        </w:rPr>
      </w:pPr>
    </w:p>
    <w:p>
      <w:pPr>
        <w:spacing w:line="580" w:lineRule="exact"/>
        <w:ind w:firstLine="626"/>
        <w:rPr>
          <w:szCs w:val="20"/>
        </w:rPr>
      </w:pPr>
      <w:r>
        <w:rPr>
          <w:b/>
          <w:szCs w:val="20"/>
        </w:rPr>
        <w:t>大力促进农民增收。</w:t>
      </w:r>
      <w:r>
        <w:rPr>
          <w:szCs w:val="20"/>
        </w:rPr>
        <w:t>以健全富农强农政策体系为着力点，构建农民增收的长效机制。大力发展劳务经济，充分发挥各级人力资源市场平台作用，加强与各用工单位沟通联系，紧紧围绕市场需求，大力开展订单式培训，提高劳务输出的组织化程度，培育区域劳务品牌，提高农民工资性收入。完善支农惠农政策，扩大和提高涉农补贴范围和标准，增加农民转移性收入。探索农村土地承包经营权和宅基地使用权的财产化形式，提高农民财产性收入，严格遵循党的十九大报告提出的“第二轮土地承包到期后再延长三十年”的决议。</w:t>
      </w:r>
      <w:bookmarkEnd w:id="25"/>
      <w:bookmarkStart w:id="54" w:name="_Toc477768140"/>
    </w:p>
    <w:p>
      <w:pPr>
        <w:keepNext/>
        <w:keepLines/>
        <w:spacing w:line="580" w:lineRule="exact"/>
        <w:jc w:val="center"/>
        <w:outlineLvl w:val="0"/>
        <w:rPr>
          <w:rFonts w:eastAsia="黑体"/>
          <w:kern w:val="44"/>
        </w:rPr>
      </w:pPr>
      <w:bookmarkStart w:id="55" w:name="_Toc480812455"/>
      <w:bookmarkStart w:id="56" w:name="_Toc483496261"/>
    </w:p>
    <w:p>
      <w:pPr>
        <w:keepNext/>
        <w:keepLines/>
        <w:spacing w:line="580" w:lineRule="exact"/>
        <w:jc w:val="center"/>
        <w:outlineLvl w:val="0"/>
        <w:rPr>
          <w:rFonts w:eastAsia="黑体"/>
          <w:kern w:val="44"/>
        </w:rPr>
      </w:pPr>
      <w:r>
        <w:rPr>
          <w:rFonts w:eastAsia="黑体"/>
          <w:kern w:val="44"/>
        </w:rPr>
        <w:t>第四章  环境影响评价</w:t>
      </w:r>
      <w:bookmarkEnd w:id="54"/>
      <w:bookmarkEnd w:id="55"/>
      <w:bookmarkEnd w:id="56"/>
    </w:p>
    <w:p>
      <w:pPr>
        <w:spacing w:line="580" w:lineRule="exact"/>
        <w:rPr>
          <w:rFonts w:eastAsia="仿宋_GB2312"/>
          <w:spacing w:val="-4"/>
        </w:rPr>
      </w:pPr>
    </w:p>
    <w:p>
      <w:pPr>
        <w:spacing w:line="580" w:lineRule="exact"/>
        <w:ind w:firstLine="608"/>
        <w:rPr>
          <w:spacing w:val="-4"/>
        </w:rPr>
      </w:pPr>
      <w:r>
        <w:rPr>
          <w:spacing w:val="-4"/>
        </w:rPr>
        <w:t>本规划实施后，能够增强农业农村发展能力，优化现代农业发展布局，节约集约利用农业资源，提高资源配置效率和资源环境承载力，推动农业发展方式转变。但农业生产过程中产生的废弃物，农药、化肥的使用，地下水资源的开采利用，畜禽养殖产生的粪便，农作物秸秆未充分利用等，可能会一定程度上对生态环境造成不利影响。根据规划实施对生态环境可能造成的影响，必须强化跟踪监测，采取有效应对措施，最大程度地降低不利影响。</w:t>
      </w:r>
    </w:p>
    <w:p>
      <w:pPr>
        <w:spacing w:line="580" w:lineRule="exact"/>
        <w:rPr>
          <w:rFonts w:eastAsia="仿宋_GB2312"/>
          <w:szCs w:val="20"/>
        </w:rPr>
      </w:pPr>
      <w:bookmarkStart w:id="57" w:name="_Toc477768141"/>
      <w:r>
        <w:rPr>
          <w:rFonts w:eastAsia="仿宋_GB2312"/>
          <w:szCs w:val="20"/>
        </w:rPr>
        <w:t xml:space="preserve">               </w:t>
      </w:r>
    </w:p>
    <w:p>
      <w:pPr>
        <w:keepNext/>
        <w:keepLines/>
        <w:spacing w:line="580" w:lineRule="exact"/>
        <w:jc w:val="center"/>
        <w:outlineLvl w:val="1"/>
        <w:rPr>
          <w:rFonts w:eastAsia="方正楷体_GBK"/>
          <w:b/>
          <w:bCs/>
        </w:rPr>
      </w:pPr>
      <w:bookmarkStart w:id="58" w:name="_Toc483496262"/>
      <w:bookmarkStart w:id="59" w:name="_Toc480812456"/>
      <w:r>
        <w:rPr>
          <w:rFonts w:eastAsia="方正楷体_GBK"/>
          <w:b/>
          <w:bCs/>
        </w:rPr>
        <w:t>第一节  积极发展生态农业</w:t>
      </w:r>
      <w:bookmarkEnd w:id="57"/>
      <w:bookmarkEnd w:id="58"/>
      <w:bookmarkEnd w:id="59"/>
    </w:p>
    <w:p>
      <w:pPr>
        <w:spacing w:line="580" w:lineRule="exact"/>
        <w:jc w:val="center"/>
        <w:rPr>
          <w:rFonts w:eastAsia="仿宋_GB2312"/>
          <w:bCs/>
          <w:szCs w:val="20"/>
        </w:rPr>
      </w:pPr>
    </w:p>
    <w:p>
      <w:pPr>
        <w:spacing w:line="580" w:lineRule="exact"/>
        <w:ind w:firstLine="624"/>
      </w:pPr>
      <w:r>
        <w:t>利用现代科学技术、运用系统工程的方法，以多种生态模式、生态工程和技术类型装备农业生产。大力推广循环农业技术模式，积极推进农村循环经济示范户、村、小区的发展，通过完善食物链网络化利用、农业</w:t>
      </w:r>
      <w:r>
        <w:rPr>
          <w:spacing w:val="-4"/>
        </w:rPr>
        <w:t>废弃物</w:t>
      </w:r>
      <w:r>
        <w:t>资源化，充分发挥资源潜力和物种多样性优势，建立良性物质循环体系，促进农业持续稳定地发展。扩大无公害作物的种植，抓好有机、绿色和无公害品牌的认证，努力实现农业生态和经济的良性循环。</w:t>
      </w:r>
    </w:p>
    <w:p>
      <w:pPr>
        <w:spacing w:line="580" w:lineRule="exact"/>
        <w:rPr>
          <w:rFonts w:eastAsia="仿宋_GB2312"/>
          <w:szCs w:val="20"/>
        </w:rPr>
      </w:pPr>
      <w:bookmarkStart w:id="60" w:name="_Toc477768142"/>
      <w:r>
        <w:rPr>
          <w:rFonts w:eastAsia="仿宋_GB2312"/>
          <w:szCs w:val="20"/>
        </w:rPr>
        <w:t xml:space="preserve">           </w:t>
      </w:r>
    </w:p>
    <w:p>
      <w:pPr>
        <w:keepNext/>
        <w:keepLines/>
        <w:spacing w:line="580" w:lineRule="exact"/>
        <w:jc w:val="center"/>
        <w:outlineLvl w:val="1"/>
        <w:rPr>
          <w:rFonts w:eastAsia="方正楷体_GBK"/>
          <w:b/>
          <w:bCs/>
        </w:rPr>
      </w:pPr>
      <w:bookmarkStart w:id="61" w:name="_Toc480812457"/>
      <w:bookmarkStart w:id="62" w:name="_Toc483496263"/>
      <w:r>
        <w:rPr>
          <w:rFonts w:eastAsia="方正楷体_GBK"/>
          <w:b/>
          <w:bCs/>
        </w:rPr>
        <w:t>第二节  加快推进农业清洁生产</w:t>
      </w:r>
      <w:bookmarkEnd w:id="60"/>
      <w:bookmarkEnd w:id="61"/>
      <w:bookmarkEnd w:id="62"/>
    </w:p>
    <w:p>
      <w:pPr>
        <w:spacing w:line="580" w:lineRule="exact"/>
        <w:jc w:val="center"/>
        <w:rPr>
          <w:rFonts w:eastAsia="仿宋_GB2312"/>
          <w:bCs/>
          <w:szCs w:val="20"/>
        </w:rPr>
      </w:pPr>
    </w:p>
    <w:p>
      <w:pPr>
        <w:spacing w:line="580" w:lineRule="exact"/>
        <w:ind w:firstLine="624"/>
      </w:pPr>
      <w:r>
        <w:t>大力推广种植业清洁生产工程、清洁养殖工程、乡村清洁工程，建立农业清洁生产的监控体系。继续抓好村容村貌整治工程和林业生态建设工程，实现生产发展、生活富裕和生态良好，加大对农村秸秆利用的研究投入，变废为宝。推广测土施肥、水肥耦合一体化施肥、化肥深施等先进技术，配合施用有机和无机肥，改进施肥机具和方法，建立良好的耕作制度。开发化肥新品种，开展养分资源的综合管理技术研究，严格控制并逐步降低化肥施用强度。推广先进的农药施用方法和技术，提高农药利用效率。积极引导和鼓励农民使用生物农药或高效、低毒、低残留农药，推广病虫草害综合防治、生物防治和精准施药等技术，减少农药使用量。</w:t>
      </w:r>
    </w:p>
    <w:p>
      <w:pPr>
        <w:spacing w:line="580" w:lineRule="exact"/>
        <w:ind w:firstLine="624"/>
      </w:pPr>
      <w:r>
        <w:t>资源化利用农业废弃物，重点支持利用秸秆生产饲料、肥料、基料，依托畜禽养殖集中区和大型养殖基地建设大中型沼气和有机肥工程，开展农业废弃物绿色高效循环利用示范试点建设，到2020年秸秆综合利用率达到90%以上，到2020年，畜禽粪污综合利用率达到75%以上，规模养殖场粪污处理设施装备配套率达到95%以上，大型规模养殖场粪污处理设施装备配套率达到100%。</w:t>
      </w:r>
    </w:p>
    <w:p>
      <w:pPr>
        <w:spacing w:line="580" w:lineRule="exact"/>
        <w:rPr>
          <w:rFonts w:eastAsia="仿宋_GB2312"/>
        </w:rPr>
      </w:pPr>
    </w:p>
    <w:p>
      <w:pPr>
        <w:keepNext/>
        <w:keepLines/>
        <w:spacing w:line="580" w:lineRule="exact"/>
        <w:jc w:val="center"/>
        <w:outlineLvl w:val="1"/>
        <w:rPr>
          <w:rFonts w:eastAsia="方正楷体_GBK"/>
          <w:b/>
          <w:bCs/>
        </w:rPr>
      </w:pPr>
      <w:bookmarkStart w:id="63" w:name="_Toc477768143"/>
      <w:bookmarkStart w:id="64" w:name="_Toc480812458"/>
      <w:bookmarkStart w:id="65" w:name="_Toc483496264"/>
      <w:r>
        <w:rPr>
          <w:rFonts w:eastAsia="方正楷体_GBK"/>
          <w:b/>
          <w:bCs/>
        </w:rPr>
        <w:t>第三节  合理高效利用水资源</w:t>
      </w:r>
      <w:bookmarkEnd w:id="63"/>
      <w:bookmarkEnd w:id="64"/>
      <w:bookmarkEnd w:id="65"/>
    </w:p>
    <w:p>
      <w:pPr>
        <w:spacing w:line="580" w:lineRule="exact"/>
        <w:jc w:val="center"/>
        <w:rPr>
          <w:rFonts w:eastAsia="仿宋_GB2312"/>
          <w:bCs/>
          <w:szCs w:val="20"/>
        </w:rPr>
      </w:pPr>
    </w:p>
    <w:p>
      <w:pPr>
        <w:spacing w:line="580" w:lineRule="exact"/>
        <w:ind w:firstLine="648"/>
      </w:pPr>
      <w:r>
        <w:rPr>
          <w:spacing w:val="6"/>
        </w:rPr>
        <w:t>实行最严格水资源管理制度，加强流域和区域用水总量控制，减少对水资源的过度消耗，逐步退还挤占的河道内生态环境用水和超采的地下水。水资源配置要保障河流的基本生态环境用水要求，维护河流合理流量，维持湖库和地下水的合理水位。水资源开发要高度重视对河流生态环境和地下水系统的保护。水资源利用要按照减量化、再利用、资源化的原则，加快建立全社会的水资源高效循环利用体系，提高水资源的利用效率和效益，推进水资源可持续利用，逐步形成节约水资源和保</w:t>
      </w:r>
      <w:r>
        <w:t>护水环境的产业结构、增长方式和消费模式，促进保护生态环境。</w:t>
      </w:r>
    </w:p>
    <w:p>
      <w:pPr>
        <w:spacing w:line="580" w:lineRule="exact"/>
        <w:rPr>
          <w:rFonts w:eastAsia="仿宋_GB2312"/>
          <w:spacing w:val="6"/>
        </w:rPr>
      </w:pPr>
    </w:p>
    <w:p>
      <w:pPr>
        <w:keepNext/>
        <w:keepLines/>
        <w:spacing w:line="580" w:lineRule="exact"/>
        <w:jc w:val="center"/>
        <w:outlineLvl w:val="1"/>
        <w:rPr>
          <w:rFonts w:eastAsia="方正楷体_GBK"/>
          <w:b/>
          <w:bCs/>
        </w:rPr>
      </w:pPr>
      <w:bookmarkStart w:id="66" w:name="_Toc477768144"/>
      <w:bookmarkStart w:id="67" w:name="_Toc480812459"/>
      <w:bookmarkStart w:id="68" w:name="_Toc483496265"/>
      <w:r>
        <w:rPr>
          <w:rFonts w:eastAsia="方正楷体_GBK"/>
          <w:b/>
          <w:bCs/>
        </w:rPr>
        <w:t>第四节  严格控制畜禽养殖污染</w:t>
      </w:r>
      <w:bookmarkEnd w:id="66"/>
      <w:bookmarkEnd w:id="67"/>
      <w:bookmarkEnd w:id="68"/>
    </w:p>
    <w:p>
      <w:pPr>
        <w:spacing w:line="580" w:lineRule="exact"/>
        <w:jc w:val="center"/>
        <w:rPr>
          <w:rFonts w:eastAsia="仿宋_GB2312"/>
          <w:bCs/>
          <w:szCs w:val="20"/>
        </w:rPr>
      </w:pPr>
    </w:p>
    <w:p>
      <w:pPr>
        <w:spacing w:line="580" w:lineRule="exact"/>
        <w:ind w:firstLine="624"/>
      </w:pPr>
      <w:r>
        <w:t>提前做好畜禽发展规划，适度控制畜禽养殖规模，提高规模化养殖比重，合理布局，清洁养殖，种养结合，集约发展，真正重视并处理好畜禽养殖和环境保护之间的关系。畜禽养殖污染控制应本着“不欠新账，多还旧账”的原则，新建、改扩建畜禽养殖建设项目严格执行环境影响评价制度与“三同时”制度，强力推动现有养殖场的污染防治工作。积极开展农牧结合，大力建设粪便污水处置设施，切实做好养殖废物的资源化利用工作，同时养殖场应雨污分流，其粪便堆场应采取防渗、防流失等控制措施，实现畜禽养殖污染的全过程控制。</w:t>
      </w:r>
    </w:p>
    <w:p>
      <w:pPr>
        <w:keepNext/>
        <w:keepLines/>
        <w:spacing w:line="580" w:lineRule="exact"/>
        <w:jc w:val="center"/>
        <w:outlineLvl w:val="1"/>
        <w:rPr>
          <w:rFonts w:eastAsia="楷体_GB2312"/>
          <w:b/>
          <w:bCs/>
        </w:rPr>
      </w:pPr>
      <w:bookmarkStart w:id="69" w:name="_Toc477768145"/>
      <w:bookmarkStart w:id="70" w:name="_Toc480812460"/>
      <w:bookmarkStart w:id="71" w:name="_Toc483496266"/>
    </w:p>
    <w:p>
      <w:pPr>
        <w:keepNext/>
        <w:keepLines/>
        <w:spacing w:line="580" w:lineRule="exact"/>
        <w:jc w:val="center"/>
        <w:outlineLvl w:val="1"/>
        <w:rPr>
          <w:rFonts w:eastAsia="方正楷体_GBK"/>
          <w:b/>
          <w:bCs/>
        </w:rPr>
      </w:pPr>
      <w:r>
        <w:rPr>
          <w:rFonts w:eastAsia="方正楷体_GBK"/>
          <w:b/>
          <w:bCs/>
        </w:rPr>
        <w:t>第五节  加强农村面源污染综合治理</w:t>
      </w:r>
      <w:bookmarkEnd w:id="69"/>
      <w:bookmarkEnd w:id="70"/>
      <w:bookmarkEnd w:id="71"/>
    </w:p>
    <w:p>
      <w:pPr>
        <w:spacing w:line="580" w:lineRule="exact"/>
        <w:jc w:val="center"/>
        <w:rPr>
          <w:rFonts w:eastAsia="仿宋_GB2312"/>
          <w:bCs/>
          <w:szCs w:val="20"/>
        </w:rPr>
      </w:pPr>
    </w:p>
    <w:p>
      <w:pPr>
        <w:spacing w:line="580" w:lineRule="exact"/>
        <w:ind w:firstLine="641"/>
      </w:pPr>
      <w:r>
        <w:t>研究并推广面源污染治理示范技术，加强面源污染对环境污染的负荷研究；开发推广可降解农膜，有效解决白色污染问题；加强规模化畜禽养殖粪便无害化和资源化利用的技术研究，大面积推广秸秆肥料化技术和沼气工程建设。着力提高农业面源污染的监测能力。建立农村环境监测机制，将土壤环境、水环境质量、重点农村空气污染源监测等纳入环境保护常规监测体系；对局部重污染土壤实施治理和修复。</w:t>
      </w:r>
      <w:bookmarkStart w:id="72" w:name="_Toc477768146"/>
    </w:p>
    <w:p>
      <w:pPr>
        <w:keepNext/>
        <w:keepLines/>
        <w:spacing w:line="580" w:lineRule="exact"/>
        <w:jc w:val="center"/>
        <w:outlineLvl w:val="0"/>
        <w:rPr>
          <w:rFonts w:eastAsia="仿宋_GB2312"/>
          <w:kern w:val="44"/>
        </w:rPr>
      </w:pPr>
      <w:bookmarkStart w:id="73" w:name="_Toc480812461"/>
      <w:bookmarkStart w:id="74" w:name="_Toc483496267"/>
      <w:r>
        <w:rPr>
          <w:rFonts w:eastAsia="黑体"/>
          <w:kern w:val="44"/>
        </w:rPr>
        <w:t>第五章  保障措施</w:t>
      </w:r>
      <w:bookmarkEnd w:id="72"/>
      <w:bookmarkEnd w:id="73"/>
      <w:bookmarkEnd w:id="74"/>
    </w:p>
    <w:p>
      <w:pPr>
        <w:spacing w:line="580" w:lineRule="exact"/>
        <w:rPr>
          <w:rFonts w:eastAsia="仿宋_GB2312"/>
          <w:szCs w:val="20"/>
        </w:rPr>
      </w:pPr>
      <w:bookmarkStart w:id="75" w:name="_Toc453666519"/>
      <w:bookmarkStart w:id="76" w:name="_Toc477768147"/>
    </w:p>
    <w:p>
      <w:pPr>
        <w:keepNext/>
        <w:keepLines/>
        <w:spacing w:line="580" w:lineRule="exact"/>
        <w:jc w:val="center"/>
        <w:outlineLvl w:val="1"/>
        <w:rPr>
          <w:rFonts w:eastAsia="方正楷体_GBK"/>
          <w:b/>
          <w:bCs/>
        </w:rPr>
      </w:pPr>
      <w:bookmarkStart w:id="77" w:name="_Toc480812462"/>
      <w:bookmarkStart w:id="78" w:name="_Toc483496268"/>
      <w:r>
        <w:rPr>
          <w:rFonts w:eastAsia="方正楷体_GBK"/>
          <w:b/>
          <w:bCs/>
        </w:rPr>
        <w:t>第一节  组织</w:t>
      </w:r>
      <w:bookmarkEnd w:id="75"/>
      <w:bookmarkEnd w:id="76"/>
      <w:r>
        <w:rPr>
          <w:rFonts w:eastAsia="方正楷体_GBK"/>
          <w:b/>
          <w:bCs/>
        </w:rPr>
        <w:t>保障</w:t>
      </w:r>
      <w:bookmarkEnd w:id="77"/>
      <w:bookmarkEnd w:id="78"/>
    </w:p>
    <w:p>
      <w:pPr>
        <w:spacing w:line="580" w:lineRule="exact"/>
        <w:jc w:val="center"/>
        <w:rPr>
          <w:rFonts w:eastAsia="仿宋_GB2312"/>
          <w:szCs w:val="20"/>
        </w:rPr>
      </w:pPr>
    </w:p>
    <w:p>
      <w:pPr>
        <w:spacing w:line="580" w:lineRule="exact"/>
        <w:ind w:firstLine="624"/>
        <w:rPr>
          <w:szCs w:val="20"/>
        </w:rPr>
      </w:pPr>
      <w:r>
        <w:t>各级政府和有关部门要按照规划的总体部署，勇于担当、善于作为，切实加强组织领导，对有关强农惠农富农政策要制定实施方案，出台具体办法。对有关重大工程项目要抓紧启动，加快实施。对有关改革任务和试点工作要积极推进，加强指导，及时总结推广。完善工作机制，按照职责分工，强化协调配合，统筹推动规划实施。加强农村法治建设，强化法制保障。</w:t>
      </w:r>
    </w:p>
    <w:p>
      <w:pPr>
        <w:spacing w:line="580" w:lineRule="exact"/>
        <w:rPr>
          <w:rFonts w:eastAsia="仿宋_GB2312"/>
          <w:szCs w:val="20"/>
        </w:rPr>
      </w:pPr>
      <w:bookmarkStart w:id="79" w:name="_Toc451714962"/>
      <w:bookmarkStart w:id="80" w:name="_Toc453666520"/>
      <w:bookmarkStart w:id="81" w:name="_Toc477768148"/>
      <w:r>
        <w:rPr>
          <w:rFonts w:eastAsia="仿宋_GB2312"/>
          <w:szCs w:val="20"/>
        </w:rPr>
        <w:t xml:space="preserve">              </w:t>
      </w:r>
    </w:p>
    <w:p>
      <w:pPr>
        <w:keepNext/>
        <w:keepLines/>
        <w:spacing w:line="580" w:lineRule="exact"/>
        <w:jc w:val="center"/>
        <w:outlineLvl w:val="1"/>
        <w:rPr>
          <w:rFonts w:eastAsia="方正楷体_GBK"/>
          <w:b/>
          <w:bCs/>
        </w:rPr>
      </w:pPr>
      <w:bookmarkStart w:id="82" w:name="_Toc480812463"/>
      <w:bookmarkStart w:id="83" w:name="_Toc483496269"/>
      <w:r>
        <w:rPr>
          <w:rFonts w:eastAsia="方正楷体_GBK"/>
          <w:b/>
          <w:bCs/>
        </w:rPr>
        <w:t xml:space="preserve">第二节 </w:t>
      </w:r>
      <w:bookmarkEnd w:id="79"/>
      <w:bookmarkEnd w:id="80"/>
      <w:bookmarkEnd w:id="81"/>
      <w:r>
        <w:rPr>
          <w:rFonts w:eastAsia="方正楷体_GBK"/>
          <w:b/>
          <w:bCs/>
        </w:rPr>
        <w:t xml:space="preserve"> 政策扶持</w:t>
      </w:r>
      <w:bookmarkEnd w:id="82"/>
      <w:bookmarkEnd w:id="83"/>
    </w:p>
    <w:p>
      <w:pPr>
        <w:spacing w:line="580" w:lineRule="exact"/>
        <w:jc w:val="center"/>
        <w:rPr>
          <w:rFonts w:eastAsia="仿宋_GB2312"/>
          <w:bCs/>
          <w:szCs w:val="20"/>
        </w:rPr>
      </w:pPr>
    </w:p>
    <w:p>
      <w:pPr>
        <w:adjustRightInd w:val="0"/>
        <w:snapToGrid w:val="0"/>
        <w:spacing w:line="580" w:lineRule="exact"/>
        <w:ind w:firstLine="630" w:firstLineChars="196"/>
        <w:rPr>
          <w:szCs w:val="20"/>
        </w:rPr>
      </w:pPr>
      <w:r>
        <w:rPr>
          <w:b/>
          <w:szCs w:val="20"/>
        </w:rPr>
        <w:t>健全富农强农政策体系。</w:t>
      </w:r>
      <w:r>
        <w:rPr>
          <w:szCs w:val="20"/>
        </w:rPr>
        <w:t>大力推进农业供给侧结构性改革，调整优化农业种养结构，发展都市农业、休闲农业、观光农业等新兴业态，开发农业多种功能，增加农民经营性收入。加大惠农补贴力度，逐步提高补贴标准、扩大补贴范围，增加农业转移性收入。积极探索农村土地承包经营权和宅基地使用权的财产形式，提高农民财产性收入，严格遵循党的十九大报告提出的“第二轮土地承包到期后再延长三十年”的决议。坚持开发式扶贫，逐步提高扶贫标准，加快解决集中连片、特殊困难地区的贫困问题。因地制宜地实行整村推进扶贫开发，改善贫困地区基础设施条件，提高贫困地区自我发展能力。加大对山区、革命老区、贫困地区、行蓄洪区的扶贫开发力度，实现农村低保制度与扶贫开发政策有效衔接。通过五年的努力，使贫困村的基础设施、村容村貌明显改善，特色增收产业基本形成，农民健康生活水平、自我发展能力和综合素质明显提升。加大财政投入，健全公益性社会化服务体系建设，夯实技术、人才等发展支撑，为目标完成提供技术、人才保障。</w:t>
      </w:r>
    </w:p>
    <w:p>
      <w:pPr>
        <w:adjustRightInd w:val="0"/>
        <w:snapToGrid w:val="0"/>
        <w:spacing w:line="580" w:lineRule="exact"/>
        <w:ind w:firstLine="624"/>
      </w:pPr>
      <w:r>
        <w:t>各有关部门要按照本规划提出的目标任务，细化政策措施，强化政策配套，协同推进规划实施。</w:t>
      </w:r>
    </w:p>
    <w:p>
      <w:pPr>
        <w:adjustRightInd w:val="0"/>
        <w:snapToGrid w:val="0"/>
        <w:spacing w:line="580" w:lineRule="exact"/>
        <w:rPr>
          <w:szCs w:val="20"/>
        </w:rPr>
      </w:pPr>
      <w:bookmarkStart w:id="84" w:name="_Toc451714963"/>
      <w:bookmarkStart w:id="85" w:name="_Toc453666521"/>
      <w:bookmarkStart w:id="86" w:name="_Toc477768149"/>
      <w:r>
        <w:rPr>
          <w:szCs w:val="20"/>
        </w:rPr>
        <w:t xml:space="preserve">                </w:t>
      </w:r>
    </w:p>
    <w:p>
      <w:pPr>
        <w:keepNext/>
        <w:keepLines/>
        <w:spacing w:line="580" w:lineRule="exact"/>
        <w:jc w:val="center"/>
        <w:outlineLvl w:val="1"/>
        <w:rPr>
          <w:rFonts w:eastAsia="方正楷体_GBK"/>
          <w:b/>
          <w:bCs/>
        </w:rPr>
      </w:pPr>
      <w:bookmarkStart w:id="87" w:name="_Toc480812464"/>
      <w:bookmarkStart w:id="88" w:name="_Toc483496270"/>
      <w:r>
        <w:rPr>
          <w:rFonts w:eastAsia="方正楷体_GBK"/>
          <w:b/>
          <w:bCs/>
        </w:rPr>
        <w:t>第三节  考核评价</w:t>
      </w:r>
      <w:bookmarkEnd w:id="84"/>
      <w:bookmarkEnd w:id="85"/>
      <w:bookmarkEnd w:id="86"/>
      <w:bookmarkEnd w:id="87"/>
      <w:bookmarkEnd w:id="88"/>
    </w:p>
    <w:p>
      <w:pPr>
        <w:adjustRightInd w:val="0"/>
        <w:snapToGrid w:val="0"/>
        <w:spacing w:line="580" w:lineRule="exact"/>
        <w:jc w:val="center"/>
        <w:rPr>
          <w:rFonts w:eastAsia="仿宋_GB2312"/>
          <w:bCs/>
          <w:szCs w:val="20"/>
        </w:rPr>
      </w:pPr>
    </w:p>
    <w:p>
      <w:pPr>
        <w:adjustRightInd w:val="0"/>
        <w:snapToGrid w:val="0"/>
        <w:spacing w:line="580" w:lineRule="exact"/>
        <w:ind w:firstLine="624"/>
        <w:rPr>
          <w:bCs/>
          <w:szCs w:val="20"/>
        </w:rPr>
      </w:pPr>
      <w:r>
        <w:t>加强规划实施情况动态监测，及时发现和解决实施中存在的问题，开展好规划实施的评估工作。把本规划的实施纳入各级政府和有关部门的目标考核体系，对指标进行分解量化，责任分工明确到位。建立和完善激励机制，加大督查考核力度。落实粮食安全县区长责任制，严格县区政府耕地保护责任目标履行情况的检查与考核，落实耕地和基本农田保护领导干部离任审计制度。</w:t>
      </w:r>
    </w:p>
    <w:p>
      <w:pPr>
        <w:adjustRightInd w:val="0"/>
        <w:snapToGrid w:val="0"/>
        <w:spacing w:line="580" w:lineRule="exact"/>
        <w:rPr>
          <w:szCs w:val="20"/>
        </w:rPr>
      </w:pPr>
      <w:bookmarkStart w:id="89" w:name="_Toc451714964"/>
      <w:bookmarkStart w:id="90" w:name="_Toc453666522"/>
      <w:bookmarkStart w:id="91" w:name="_Toc477768150"/>
      <w:r>
        <w:rPr>
          <w:szCs w:val="20"/>
        </w:rPr>
        <w:t xml:space="preserve"> </w:t>
      </w:r>
    </w:p>
    <w:p>
      <w:pPr>
        <w:keepNext/>
        <w:keepLines/>
        <w:spacing w:line="580" w:lineRule="exact"/>
        <w:jc w:val="center"/>
        <w:outlineLvl w:val="1"/>
        <w:rPr>
          <w:rFonts w:eastAsia="方正楷体_GBK"/>
          <w:b/>
          <w:bCs/>
        </w:rPr>
      </w:pPr>
      <w:bookmarkStart w:id="92" w:name="_Toc480812465"/>
      <w:bookmarkStart w:id="93" w:name="_Toc483496271"/>
      <w:r>
        <w:rPr>
          <w:rFonts w:eastAsia="方正楷体_GBK"/>
          <w:b/>
          <w:bCs/>
        </w:rPr>
        <w:t xml:space="preserve">第四节 </w:t>
      </w:r>
      <w:bookmarkEnd w:id="89"/>
      <w:bookmarkEnd w:id="90"/>
      <w:bookmarkEnd w:id="91"/>
      <w:r>
        <w:rPr>
          <w:rFonts w:eastAsia="方正楷体_GBK"/>
          <w:b/>
          <w:bCs/>
        </w:rPr>
        <w:t xml:space="preserve"> 广泛参与</w:t>
      </w:r>
      <w:bookmarkEnd w:id="92"/>
      <w:bookmarkEnd w:id="93"/>
    </w:p>
    <w:p>
      <w:pPr>
        <w:adjustRightInd w:val="0"/>
        <w:snapToGrid w:val="0"/>
        <w:spacing w:line="580" w:lineRule="exact"/>
        <w:jc w:val="center"/>
        <w:rPr>
          <w:rFonts w:eastAsia="仿宋_GB2312"/>
          <w:bCs/>
          <w:szCs w:val="20"/>
        </w:rPr>
      </w:pPr>
    </w:p>
    <w:p>
      <w:r>
        <w:t>本规划提出的预期性指标和重点发展任务，主要依靠市场主体的自主行为实现。要充分发挥各级政府、社会各界的积极性、主动性和创造性，汇聚社会各界特别是广大农民的力量和智慧，健全规划实施情况公开机制、社会监督机制和公众评议机制，形成群策群力、共建共享的生动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ind w:firstLine="624"/>
      </w:pPr>
      <w:r>
        <w:footnoteRef/>
      </w:r>
      <w:r>
        <w:t xml:space="preserve"> </w:t>
      </w:r>
      <w:r>
        <w:rPr>
          <w:rFonts w:hint="eastAsia" w:cs="宋体"/>
        </w:rPr>
        <w:t>在粮食主产县规划建设一批百亩方、千亩方和万亩方，统筹推进水、电、路等基础设施建设，强化服务配套，实现土地规模和集约化经营，促进粮食持续稳定发展。</w:t>
      </w:r>
    </w:p>
  </w:footnote>
  <w:footnote w:id="1">
    <w:p>
      <w:pPr>
        <w:ind w:firstLine="624"/>
      </w:pPr>
      <w:r>
        <w:footnoteRef/>
      </w:r>
      <w:r>
        <w:t xml:space="preserve"> </w:t>
      </w:r>
      <w:r>
        <w:rPr>
          <w:rFonts w:hint="eastAsia" w:cs="宋体"/>
        </w:rPr>
        <w:t>藏粮于地：适时调节粮食产量和生产能力的关系，通过耕地的增加和减少来维持粮食供求的大体平衡；藏粮于技：向科技要粮，走依靠科技进步、提高单产的内涵式发展道路。</w:t>
      </w:r>
    </w:p>
  </w:footnote>
  <w:footnote w:id="2">
    <w:p>
      <w:pPr>
        <w:ind w:firstLine="624"/>
      </w:pPr>
      <w:r>
        <w:footnoteRef/>
      </w:r>
      <w:r>
        <w:t xml:space="preserve"> </w:t>
      </w:r>
      <w:r>
        <w:rPr>
          <w:rFonts w:hint="eastAsia" w:cs="宋体"/>
        </w:rPr>
        <w:t>是指国家根据财力和粮食供求状况，重点在重金属污染区、生态严重退化地区开展试点，安排一定面积的耕地用于休耕，对休耕农民给予必要的粮食或现金补助。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506E0"/>
    <w:rsid w:val="1C550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样式6"/>
    <w:basedOn w:val="1"/>
    <w:qFormat/>
    <w:uiPriority w:val="0"/>
    <w:pPr>
      <w:spacing w:line="580" w:lineRule="exact"/>
      <w:ind w:firstLine="200" w:firstLineChars="200"/>
    </w:pPr>
    <w:rPr>
      <w:rFonts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2018-03-12T02:28:00Z</dcterms:created>
  <dc:creator>永无止境</dc:creator>
  <cp:lastModifiedBy>永无止境</cp:lastModifiedBy>
  <dcterms:modified xsi:type="dcterms:W3CDTF">2018-03-12T02:29:51Z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