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rPr>
          <w:rFonts w:ascii="Times New Roman" w:hAnsi="Times New Roman" w:eastAsia="方正小标宋_GBK"/>
          <w:sz w:val="44"/>
          <w:szCs w:val="44"/>
        </w:rPr>
      </w:pPr>
      <w:r>
        <w:rPr>
          <w:rFonts w:ascii="Times New Roman" w:hAnsi="Times New Roman" w:eastAsia="方正小标宋_GBK"/>
          <w:sz w:val="44"/>
          <w:szCs w:val="44"/>
        </w:rPr>
        <w:t>信阳市重污染天气应急预案</w:t>
      </w:r>
    </w:p>
    <w:p>
      <w:pPr>
        <w:pStyle w:val="8"/>
        <w:spacing w:line="700" w:lineRule="exact"/>
        <w:rPr>
          <w:rFonts w:ascii="Times New Roman" w:hAnsi="Times New Roman" w:eastAsia="方正小标宋_GBK"/>
          <w:sz w:val="44"/>
          <w:szCs w:val="44"/>
        </w:rPr>
      </w:pPr>
      <w:r>
        <w:rPr>
          <w:rFonts w:ascii="Times New Roman" w:hAnsi="Times New Roman" w:eastAsia="方正小标宋_GBK"/>
          <w:sz w:val="44"/>
          <w:szCs w:val="44"/>
        </w:rPr>
        <w:t>（2018年修订）</w:t>
      </w:r>
    </w:p>
    <w:p>
      <w:pPr>
        <w:spacing w:line="580" w:lineRule="exact"/>
        <w:ind w:firstLine="640"/>
        <w:outlineLvl w:val="0"/>
        <w:rPr>
          <w:rFonts w:eastAsia="黑体"/>
        </w:rPr>
      </w:pPr>
    </w:p>
    <w:p>
      <w:pPr>
        <w:spacing w:line="580" w:lineRule="exact"/>
        <w:ind w:firstLine="640"/>
        <w:outlineLvl w:val="0"/>
        <w:rPr>
          <w:rFonts w:eastAsia="仿宋_GB2312"/>
        </w:rPr>
      </w:pPr>
      <w:r>
        <w:rPr>
          <w:rFonts w:eastAsia="黑体"/>
        </w:rPr>
        <w:t>一、总则</w:t>
      </w:r>
    </w:p>
    <w:p>
      <w:pPr>
        <w:spacing w:line="580" w:lineRule="exact"/>
        <w:ind w:firstLine="643"/>
        <w:outlineLvl w:val="0"/>
        <w:rPr>
          <w:rFonts w:hint="eastAsia" w:ascii="方正楷体_GBK" w:eastAsia="方正楷体_GBK"/>
          <w:b/>
        </w:rPr>
      </w:pPr>
      <w:r>
        <w:rPr>
          <w:rFonts w:hint="eastAsia" w:ascii="方正楷体_GBK" w:eastAsia="方正楷体_GBK"/>
          <w:b/>
        </w:rPr>
        <w:t>（一）编制目的</w:t>
      </w:r>
    </w:p>
    <w:p>
      <w:pPr>
        <w:spacing w:line="580" w:lineRule="exact"/>
        <w:ind w:firstLine="640"/>
      </w:pPr>
      <w:r>
        <w:t>为有效应对不利气象条件下空气污染，针对可能发生的重污染天气，采取严格的应急措施，以减缓污染程度，保护公众健康。</w:t>
      </w:r>
    </w:p>
    <w:p>
      <w:pPr>
        <w:spacing w:line="580" w:lineRule="exact"/>
        <w:ind w:firstLine="643"/>
        <w:outlineLvl w:val="0"/>
        <w:rPr>
          <w:rFonts w:ascii="方正楷体_GBK" w:eastAsia="方正楷体_GBK"/>
          <w:b/>
        </w:rPr>
      </w:pPr>
      <w:r>
        <w:rPr>
          <w:rFonts w:ascii="方正楷体_GBK" w:eastAsia="方正楷体_GBK"/>
          <w:b/>
        </w:rPr>
        <w:t>（二）编制依据</w:t>
      </w:r>
    </w:p>
    <w:p>
      <w:pPr>
        <w:spacing w:line="580" w:lineRule="exact"/>
        <w:ind w:firstLine="640"/>
      </w:pPr>
      <w:r>
        <w:t>依据《中华人民共和国环境保护法》《中华人民共和国大气污染防治法》《中华人民共和国突发事件应对法》《关于印送&lt;关于推进重污染天气应急预案修订工作的指导意见&gt;的函》（环办大气函〔2018〕875号）、《河南省大气污染防治条例》《河南省污染防治攻坚战三年行动计划》（豫政〔2018〕30号）、《河南省重污染天气应急预案》和《信阳市2018年大气污染防治攻坚战实施方案》。</w:t>
      </w:r>
    </w:p>
    <w:p>
      <w:pPr>
        <w:spacing w:line="580" w:lineRule="exact"/>
        <w:ind w:firstLine="643"/>
        <w:outlineLvl w:val="0"/>
        <w:rPr>
          <w:rFonts w:ascii="方正楷体_GBK" w:eastAsia="方正楷体_GBK"/>
          <w:b/>
        </w:rPr>
      </w:pPr>
      <w:r>
        <w:rPr>
          <w:rFonts w:ascii="方正楷体_GBK" w:eastAsia="方正楷体_GBK"/>
          <w:b/>
        </w:rPr>
        <w:t>（三）适用范围</w:t>
      </w:r>
    </w:p>
    <w:p>
      <w:pPr>
        <w:spacing w:line="580" w:lineRule="exact"/>
        <w:ind w:firstLine="640"/>
      </w:pPr>
      <w:r>
        <w:t>本预案适用于信阳市行政区域内发生重污染天气以及区域应急联防联控的预警和应急响应。</w:t>
      </w:r>
    </w:p>
    <w:p>
      <w:pPr>
        <w:spacing w:line="580" w:lineRule="exact"/>
        <w:ind w:firstLine="640"/>
      </w:pPr>
      <w:r>
        <w:t>本预案所称重污染天气，是指根据《环境空气质量指数（AQI）技术规定（试行）》（HJ633-2012），环境空气质量指数（AQI）大于200，即空气质量达到五级（重度污染）及以上污染程度的天气。</w:t>
      </w:r>
    </w:p>
    <w:p>
      <w:pPr>
        <w:spacing w:line="580" w:lineRule="exact"/>
        <w:ind w:firstLine="640"/>
      </w:pPr>
      <w:r>
        <w:t>本预案不适用于因沙尘造成的重污染天气。</w:t>
      </w:r>
    </w:p>
    <w:p>
      <w:pPr>
        <w:spacing w:line="580" w:lineRule="exact"/>
        <w:ind w:firstLine="640"/>
        <w:outlineLvl w:val="0"/>
        <w:rPr>
          <w:rFonts w:eastAsia="黑体"/>
        </w:rPr>
      </w:pPr>
      <w:r>
        <w:rPr>
          <w:rFonts w:eastAsia="黑体"/>
        </w:rPr>
        <w:t>二、预警分级标准</w:t>
      </w:r>
    </w:p>
    <w:p>
      <w:pPr>
        <w:spacing w:line="580" w:lineRule="exact"/>
        <w:ind w:firstLine="640"/>
      </w:pPr>
      <w:r>
        <w:t>重污染天气预警统一以空气质量指数（AQI）日均值为指标，按连续24小时（可以跨自然日）均值计算，以AQI＞200持续天数作为各级别预警启动的基本条件。</w:t>
      </w:r>
    </w:p>
    <w:p>
      <w:pPr>
        <w:spacing w:line="580" w:lineRule="exact"/>
        <w:ind w:firstLine="640"/>
      </w:pPr>
      <w:r>
        <w:t>全市重污染天气预警级别统一由低到高分为黄色、橙色和红色预警三级，各级别分级标准为：</w:t>
      </w:r>
    </w:p>
    <w:p>
      <w:pPr>
        <w:spacing w:line="580" w:lineRule="exact"/>
        <w:ind w:firstLine="640"/>
      </w:pPr>
      <w:r>
        <w:t>（1）黄色预警：预测AQI日均值＞200将持续2天（48小时）及以上且未达到高级别预警条件时。</w:t>
      </w:r>
    </w:p>
    <w:p>
      <w:pPr>
        <w:spacing w:line="580" w:lineRule="exact"/>
        <w:ind w:firstLine="640"/>
      </w:pPr>
      <w:r>
        <w:t>（2）橙色预警：预测AQI日均值＞200将持续3天（72小时）及以上，且出现AQI日均值＞300的情况时。</w:t>
      </w:r>
    </w:p>
    <w:p>
      <w:pPr>
        <w:spacing w:line="580" w:lineRule="exact"/>
        <w:ind w:firstLine="640"/>
      </w:pPr>
      <w:r>
        <w:t>（3）红色预警：预测AQI日均值＞200将持续4天（96小时）及以上</w:t>
      </w:r>
      <w:r>
        <w:rPr>
          <w:rFonts w:hint="eastAsia"/>
        </w:rPr>
        <w:t>，</w:t>
      </w:r>
      <w:r>
        <w:t>且预测AQI日均值&gt;300将持续2天（48小时）及以上；或预测AQI日均值达到500</w:t>
      </w:r>
      <w:r>
        <w:rPr>
          <w:rFonts w:hint="eastAsia"/>
        </w:rPr>
        <w:t>时</w:t>
      </w:r>
      <w:r>
        <w:t>。</w:t>
      </w:r>
    </w:p>
    <w:p>
      <w:pPr>
        <w:spacing w:line="580" w:lineRule="exact"/>
        <w:ind w:firstLine="640"/>
      </w:pPr>
      <w:r>
        <w:t>当预测AQI日均值＞200持续1天，且未达到黄色预警级别时，随空气质量预报信息发布健康防护提醒性消息。</w:t>
      </w:r>
    </w:p>
    <w:p>
      <w:pPr>
        <w:spacing w:line="580" w:lineRule="exact"/>
        <w:ind w:firstLine="640"/>
        <w:outlineLvl w:val="0"/>
      </w:pPr>
      <w:r>
        <w:rPr>
          <w:rFonts w:eastAsia="黑体"/>
        </w:rPr>
        <w:t>三、应急指挥机构</w:t>
      </w:r>
    </w:p>
    <w:p>
      <w:pPr>
        <w:spacing w:line="580" w:lineRule="exact"/>
        <w:ind w:firstLine="640"/>
      </w:pPr>
      <w:r>
        <w:t>市政府成立信阳市重污染天气应急指挥部（以下简称指挥部），指挥长由市长担任，副指挥长由分管环保工作的副市长担任。市委宣传部、市纪委监察委、市政府应急办、环境保护局、气象局、工业和信息化委、工商局、住房和城乡建设局、城市管理局、交通运输局、公安局、卫生和计划生育委、财政局、农业局、发展改革委、水利局、国土资源局、规划局、教育局、文化广电新闻出版局、人防办、房管中心、机关事务管理局、国网信阳电力公司</w:t>
      </w:r>
      <w:r>
        <w:rPr>
          <w:rFonts w:hint="eastAsia"/>
        </w:rPr>
        <w:t>以及</w:t>
      </w:r>
      <w:r>
        <w:t>各县（区）人民政府、管理区、开发区为成员单位。根据重污染天气应对工作需要，可增加有关部门为成员单位。</w:t>
      </w:r>
    </w:p>
    <w:p>
      <w:pPr>
        <w:spacing w:line="580" w:lineRule="exact"/>
        <w:ind w:firstLine="640"/>
      </w:pPr>
      <w:r>
        <w:t>指挥部下设办公室(以下简称指挥部办公室)，作为重污染天气应急指挥机构，办公室设在信阳市环境污染防治攻坚战领导指挥部办公室，办公室主任由市环境污染防治攻坚办主任担任。</w:t>
      </w:r>
    </w:p>
    <w:p>
      <w:pPr>
        <w:spacing w:line="580" w:lineRule="exact"/>
        <w:ind w:firstLine="640"/>
        <w:outlineLvl w:val="0"/>
        <w:rPr>
          <w:rFonts w:eastAsia="黑体"/>
        </w:rPr>
      </w:pPr>
      <w:r>
        <w:rPr>
          <w:rFonts w:eastAsia="黑体"/>
        </w:rPr>
        <w:t>四、重污染天气应急工作程序</w:t>
      </w:r>
    </w:p>
    <w:p>
      <w:pPr>
        <w:spacing w:line="580" w:lineRule="exact"/>
        <w:ind w:firstLine="643"/>
        <w:outlineLvl w:val="0"/>
        <w:rPr>
          <w:rFonts w:ascii="方正楷体_GBK" w:eastAsia="方正楷体_GBK"/>
          <w:b/>
        </w:rPr>
      </w:pPr>
      <w:r>
        <w:rPr>
          <w:rFonts w:ascii="方正楷体_GBK" w:eastAsia="方正楷体_GBK"/>
          <w:b/>
        </w:rPr>
        <w:t>（一）会商</w:t>
      </w:r>
    </w:p>
    <w:p>
      <w:pPr>
        <w:spacing w:line="580" w:lineRule="exact"/>
        <w:ind w:firstLine="640"/>
      </w:pPr>
      <w:r>
        <w:t>技术组要建立会商研判机制，运用环境监测和气象观测资料，做好大气污染过程的趋势分析和研判，对未来空气质量和气象条件进行预测预报</w:t>
      </w:r>
      <w:r>
        <w:rPr>
          <w:rFonts w:hint="eastAsia"/>
        </w:rPr>
        <w:t>。当</w:t>
      </w:r>
      <w:r>
        <w:t>预测出现重污染天气时（环境空气质量指数AQI日均值大于200），要确定预警级别和响应措施，形成《信阳市环境气象预报及会商意见》，提前36小时提交综合组。重污染天气响应期间每日会商，</w:t>
      </w:r>
      <w:r>
        <w:rPr>
          <w:rFonts w:hint="eastAsia"/>
        </w:rPr>
        <w:t>并</w:t>
      </w:r>
      <w:r>
        <w:t>发布预警信息，重污染天气已经出现时，实时会商。</w:t>
      </w:r>
    </w:p>
    <w:p>
      <w:pPr>
        <w:spacing w:line="580" w:lineRule="exact"/>
        <w:ind w:firstLine="643"/>
        <w:outlineLvl w:val="0"/>
        <w:rPr>
          <w:rFonts w:ascii="方正楷体_GBK" w:eastAsia="方正楷体_GBK"/>
          <w:b/>
        </w:rPr>
      </w:pPr>
      <w:r>
        <w:rPr>
          <w:rFonts w:ascii="方正楷体_GBK" w:eastAsia="方正楷体_GBK"/>
          <w:b/>
        </w:rPr>
        <w:t>（二）预警审批</w:t>
      </w:r>
    </w:p>
    <w:p>
      <w:pPr>
        <w:spacing w:line="580" w:lineRule="exact"/>
        <w:ind w:firstLine="640"/>
      </w:pPr>
      <w:r>
        <w:t>当需要发布预警信息时，综合组根据《信阳市环境气象预报及会商意见》中确定的预警级别和响应措施，报应急指挥部批准。红色预警由应急指挥部指挥长批准；橙色预警</w:t>
      </w:r>
      <w:r>
        <w:rPr>
          <w:rFonts w:hint="eastAsia"/>
        </w:rPr>
        <w:t>和</w:t>
      </w:r>
      <w:r>
        <w:t>黄色预警由应急指挥部副指挥长批准。</w:t>
      </w:r>
    </w:p>
    <w:p>
      <w:pPr>
        <w:spacing w:line="580" w:lineRule="exact"/>
        <w:ind w:firstLine="640"/>
      </w:pPr>
      <w:r>
        <w:t>预警解除程序与启动程序一致。</w:t>
      </w:r>
    </w:p>
    <w:p>
      <w:pPr>
        <w:spacing w:line="580" w:lineRule="exact"/>
        <w:ind w:firstLine="643"/>
        <w:outlineLvl w:val="0"/>
        <w:rPr>
          <w:rFonts w:ascii="方正楷体_GBK" w:eastAsia="方正楷体_GBK"/>
          <w:b/>
        </w:rPr>
      </w:pPr>
      <w:r>
        <w:rPr>
          <w:rFonts w:ascii="方正楷体_GBK" w:eastAsia="方正楷体_GBK"/>
          <w:b/>
        </w:rPr>
        <w:t>（三）预警发布</w:t>
      </w:r>
    </w:p>
    <w:p>
      <w:pPr>
        <w:spacing w:line="580" w:lineRule="exact"/>
        <w:ind w:firstLine="640"/>
      </w:pPr>
      <w:r>
        <w:t>预警启动、调整和解除统一由市政府组织发布。</w:t>
      </w:r>
    </w:p>
    <w:p>
      <w:pPr>
        <w:spacing w:line="580" w:lineRule="exact"/>
        <w:ind w:firstLine="640"/>
      </w:pPr>
      <w:r>
        <w:t>当预测到未来空气质量可能达到预警分级条件时，提前24小时发布相应级别的预警。预警信息主要包括以下内容：我市未来气象条件变化趋势，重污染天气发生的时间、AQI指数范围、首要污染物、空气质量级别、预警等级、响应级别、响应启动时间等。</w:t>
      </w:r>
    </w:p>
    <w:p>
      <w:pPr>
        <w:spacing w:line="580" w:lineRule="exact"/>
        <w:ind w:firstLine="640"/>
      </w:pPr>
      <w:r>
        <w:t>当预测发生前后两次重污染过程，但间隔时间未达到解除预警条件时，应按一次重污染过程从严启动预警。当预测或监测空气质量达到更高级别预警条件时，应尽早采取升级措施。</w:t>
      </w:r>
    </w:p>
    <w:p>
      <w:pPr>
        <w:spacing w:line="580" w:lineRule="exact"/>
        <w:ind w:firstLine="640"/>
      </w:pPr>
      <w:r>
        <w:t>根据国家或省基于区域会商结果，预测多个连片城市空气质量达到启动橙色及以上预警级别，按要求启动相应级别预警，落实区域应急联动。</w:t>
      </w:r>
    </w:p>
    <w:p>
      <w:pPr>
        <w:spacing w:line="580" w:lineRule="exact"/>
        <w:ind w:firstLine="640"/>
      </w:pPr>
      <w:r>
        <w:t>当空气质量改善到相应级别预警启动标准以下，且预测将持续36小时以上时，可以降低预警级别或解除预警，并提前发布信息。</w:t>
      </w:r>
    </w:p>
    <w:p>
      <w:pPr>
        <w:spacing w:line="580" w:lineRule="exact"/>
        <w:ind w:firstLine="643"/>
        <w:outlineLvl w:val="0"/>
        <w:rPr>
          <w:rFonts w:ascii="方正楷体_GBK" w:eastAsia="方正楷体_GBK"/>
          <w:b/>
        </w:rPr>
      </w:pPr>
      <w:r>
        <w:rPr>
          <w:rFonts w:ascii="方正楷体_GBK" w:eastAsia="方正楷体_GBK"/>
          <w:b/>
        </w:rPr>
        <w:t>（四）预警响应和终止</w:t>
      </w:r>
    </w:p>
    <w:p>
      <w:pPr>
        <w:spacing w:line="580" w:lineRule="exact"/>
        <w:ind w:firstLine="640"/>
      </w:pPr>
      <w:r>
        <w:t>应急响应启动后，市环保局和市气象局应在发布（调整和解除）预警信息1小时内，分别向上一级业务主管部门报告。宣传组及时通过电视、广播、报纸、手机短信、微信、微博等向公众发布应急管控启动（解除）相关信息，对重污染天气应对工作进行广泛宣传和跟踪报道。</w:t>
      </w:r>
    </w:p>
    <w:p>
      <w:pPr>
        <w:spacing w:line="580" w:lineRule="exact"/>
        <w:ind w:firstLine="640"/>
      </w:pPr>
      <w:r>
        <w:t>重污染天气应急工作实施“党政同责、一岗双责、失职追责”</w:t>
      </w:r>
      <w:r>
        <w:rPr>
          <w:rFonts w:hint="eastAsia"/>
        </w:rPr>
        <w:t>。</w:t>
      </w:r>
      <w:r>
        <w:t>应急指挥部各成员单位根据各自职责按照要求启动本单位相应的响应措施，各项措施要明确具体责任单位、责任领导、责任人，每项应急工作的牵头单位明确具体的督导责任人，确保相关措施落实到位。</w:t>
      </w:r>
    </w:p>
    <w:p>
      <w:pPr>
        <w:spacing w:line="580" w:lineRule="exact"/>
        <w:ind w:firstLine="640"/>
      </w:pPr>
      <w:r>
        <w:t>应急响应启动后，市三级督导组负责组织对各项应急措施执行情况开展监督检查。</w:t>
      </w:r>
    </w:p>
    <w:p>
      <w:pPr>
        <w:spacing w:line="580" w:lineRule="exact"/>
        <w:ind w:firstLine="640"/>
      </w:pPr>
      <w:r>
        <w:t>预警解除信息发布后，各成员单位按照要求终止应急响应。</w:t>
      </w:r>
    </w:p>
    <w:p>
      <w:pPr>
        <w:spacing w:line="580" w:lineRule="exact"/>
        <w:ind w:firstLine="643"/>
        <w:outlineLvl w:val="0"/>
        <w:rPr>
          <w:rFonts w:ascii="方正楷体_GBK" w:eastAsia="方正楷体_GBK"/>
          <w:b/>
        </w:rPr>
      </w:pPr>
      <w:r>
        <w:rPr>
          <w:rFonts w:ascii="方正楷体_GBK" w:eastAsia="方正楷体_GBK"/>
          <w:b/>
        </w:rPr>
        <w:t>（五）总结评估</w:t>
      </w:r>
    </w:p>
    <w:p>
      <w:pPr>
        <w:spacing w:line="580" w:lineRule="exact"/>
        <w:ind w:firstLine="640"/>
      </w:pPr>
      <w:r>
        <w:t>应急指挥部各成员单位在重污染天气预警响应启动24小时内将应急措施落实情况以书面形式报综合组，管控期间按要求报送进展信息，预警解除3日内将应急响应措施落实情况总结报技术组。应急响应终止5日内，技术组进行总结评估</w:t>
      </w:r>
      <w:r>
        <w:rPr>
          <w:rFonts w:hint="eastAsia"/>
        </w:rPr>
        <w:t>，</w:t>
      </w:r>
      <w:r>
        <w:t>内容包括：重污染天气发生及预警发布情况，应急措施落实情况，减排清单、实施方案和操作方案的完备性等，总结应对经验</w:t>
      </w:r>
      <w:r>
        <w:rPr>
          <w:rFonts w:hint="eastAsia"/>
        </w:rPr>
        <w:t>，</w:t>
      </w:r>
      <w:r>
        <w:t>查找分析问题，持续改进不足，提升重污染天气应对水平。</w:t>
      </w:r>
    </w:p>
    <w:p>
      <w:pPr>
        <w:spacing w:line="580" w:lineRule="exact"/>
        <w:ind w:firstLine="640"/>
      </w:pPr>
      <w:r>
        <w:t>各县（区）政府、管理区（开发区），相关部门和企业做好重污染天气应急过程记录，建立档案制度。</w:t>
      </w:r>
    </w:p>
    <w:p>
      <w:pPr>
        <w:spacing w:line="580" w:lineRule="exact"/>
        <w:ind w:firstLine="640"/>
      </w:pPr>
      <w:r>
        <w:t>应急指挥部办公室在2019年5月份组织对重污染天气应急应对情况进行总结评估。</w:t>
      </w:r>
    </w:p>
    <w:p>
      <w:pPr>
        <w:spacing w:line="580" w:lineRule="exact"/>
        <w:ind w:firstLine="640"/>
        <w:outlineLvl w:val="0"/>
        <w:rPr>
          <w:rFonts w:eastAsia="黑体"/>
        </w:rPr>
      </w:pPr>
      <w:r>
        <w:rPr>
          <w:rFonts w:eastAsia="黑体"/>
        </w:rPr>
        <w:t>五、重污染天气应急措施</w:t>
      </w:r>
    </w:p>
    <w:p>
      <w:pPr>
        <w:spacing w:line="580" w:lineRule="exact"/>
        <w:ind w:firstLine="640"/>
      </w:pPr>
      <w:r>
        <w:t>根据发布的黄色、橙色、红色预警级别，分级采取Ⅲ、Ⅱ、Ⅰ级响应措施，主要包括：健康防护措施、建议性应急措施和强制性应急措施。</w:t>
      </w:r>
    </w:p>
    <w:p>
      <w:pPr>
        <w:spacing w:line="580" w:lineRule="exact"/>
        <w:ind w:firstLine="643"/>
        <w:outlineLvl w:val="0"/>
        <w:rPr>
          <w:rFonts w:ascii="方正楷体_GBK" w:eastAsia="方正楷体_GBK"/>
          <w:b/>
        </w:rPr>
      </w:pPr>
      <w:r>
        <w:rPr>
          <w:rFonts w:ascii="方正楷体_GBK" w:eastAsia="方正楷体_GBK"/>
          <w:b/>
        </w:rPr>
        <w:t>（一）Ⅲ级响应</w:t>
      </w:r>
    </w:p>
    <w:p>
      <w:pPr>
        <w:spacing w:line="580" w:lineRule="exact"/>
        <w:ind w:firstLine="640"/>
      </w:pPr>
      <w:r>
        <w:t>1.健康防护措施</w:t>
      </w:r>
    </w:p>
    <w:p>
      <w:pPr>
        <w:spacing w:line="580" w:lineRule="exact"/>
        <w:ind w:firstLine="640"/>
      </w:pPr>
      <w:r>
        <w:t>（1）儿童、老年人、住院患者和患有心脑血管、呼吸系统等疾病的易感人群留在室内，确需外出的，应当采取防护措施；一般人群减少户外运动和室外作业时间，如不可避免，建议采取防护措施。</w:t>
      </w:r>
    </w:p>
    <w:p>
      <w:pPr>
        <w:spacing w:line="580" w:lineRule="exact"/>
        <w:ind w:firstLine="640"/>
      </w:pPr>
      <w:r>
        <w:t>（2）幼儿园、中小学校等教育机构停止体育课、课间操、运动会等户外活动。</w:t>
      </w:r>
    </w:p>
    <w:p>
      <w:pPr>
        <w:spacing w:line="580" w:lineRule="exact"/>
        <w:ind w:firstLine="640"/>
      </w:pPr>
      <w:r>
        <w:t>（3）医疗机构增设相关疾病门诊、急诊，增加医护人员。</w:t>
      </w:r>
    </w:p>
    <w:p>
      <w:pPr>
        <w:spacing w:line="580" w:lineRule="exact"/>
        <w:ind w:firstLine="640"/>
      </w:pPr>
      <w:r>
        <w:t>（4）加强对空气重污染应急措施、健康防护等科普知识的宣传。</w:t>
      </w:r>
    </w:p>
    <w:p>
      <w:pPr>
        <w:spacing w:line="580" w:lineRule="exact"/>
        <w:ind w:firstLine="640"/>
      </w:pPr>
      <w:r>
        <w:t>2.建议性应急措施</w:t>
      </w:r>
    </w:p>
    <w:p>
      <w:pPr>
        <w:spacing w:line="580" w:lineRule="exact"/>
        <w:ind w:firstLine="640"/>
      </w:pPr>
      <w:bookmarkStart w:id="0" w:name="OLE_LINK5"/>
      <w:r>
        <w:t>（1）倡导公众绿色出行，鼓励公众尽量乘坐公共交通工具或电动汽车等方式出行；驻车及时熄火，减少车辆原地怠速运行时间。</w:t>
      </w:r>
    </w:p>
    <w:p>
      <w:pPr>
        <w:spacing w:line="580" w:lineRule="exact"/>
        <w:ind w:firstLine="640"/>
      </w:pPr>
      <w:r>
        <w:t>（2）减少机动车日间加油。</w:t>
      </w:r>
    </w:p>
    <w:p>
      <w:pPr>
        <w:spacing w:line="580" w:lineRule="exact"/>
        <w:ind w:firstLine="640"/>
      </w:pPr>
      <w:r>
        <w:t>（3）生产过程中排放大气污染物的企事业单位、各类工地等，自觉调整生产工期，减少涂料、油漆、溶剂等含挥发性有机物的原材料及产品的使用；可在达标排放的基础上提高污染治理设施效率，调整有大气污染物排放生产工艺的运行时间，主动减少大气污染物排放量。</w:t>
      </w:r>
    </w:p>
    <w:p>
      <w:pPr>
        <w:spacing w:line="580" w:lineRule="exact"/>
        <w:ind w:firstLine="640"/>
      </w:pPr>
      <w:r>
        <w:t>（4）减少散烧煤使用量。</w:t>
      </w:r>
    </w:p>
    <w:bookmarkEnd w:id="0"/>
    <w:p>
      <w:pPr>
        <w:spacing w:line="580" w:lineRule="exact"/>
        <w:ind w:firstLine="640"/>
      </w:pPr>
      <w:r>
        <w:t>3.强制性应急措施</w:t>
      </w:r>
    </w:p>
    <w:p>
      <w:pPr>
        <w:spacing w:line="580" w:lineRule="exact"/>
        <w:ind w:firstLine="640"/>
      </w:pPr>
      <w:r>
        <w:t>（1）扬尘源减排措施。全市停止施工工地的土石方作业（包括停止土石方开挖、回填、场内倒运、掺拌石灰、混凝土剔凿等作业，停止建筑工程配套道路和管沟开挖作业）。建筑垃圾和渣土车、砂石运输车辆禁止上路行驶。非道路移动机械停止作业。市重点建设项目、民生工程、应急抢险等应严格落实“六个百分百”（工地周边百分百围挡、物料堆放百分百覆盖、出入车辆百分百冲洗、施工现场地面百分百硬化、拆迁工地百分百湿法作业、渣土车辆百分百密闭运输）要求，裸露场地全部苫盖，增加洒水降尘频次。对城区主次干道、城乡结合部道路、重要国道省道县道在日常道路保洁频次的基础上，增加吸尘、清扫、洒水、喷雾等防治扬尘作业2次（非冰冻期）。</w:t>
      </w:r>
    </w:p>
    <w:p>
      <w:pPr>
        <w:spacing w:line="580" w:lineRule="exact"/>
        <w:ind w:firstLine="640"/>
      </w:pPr>
      <w:r>
        <w:t>（2）工业污染减排措施。增加对重点大气污染源的执法检查频次，确保其大气污染防治设施高效运转，达标排放。按照重污染天气应急响应行业停限产措施（附件3）黄色预警要求，工业企业采取“一厂一策”实施停产或限产。按规定应当执行错峰生产的企业和其他大气污染物不能稳定达标排放的企业停限产。</w:t>
      </w:r>
    </w:p>
    <w:p>
      <w:pPr>
        <w:spacing w:line="580" w:lineRule="exact"/>
        <w:ind w:firstLine="640"/>
      </w:pPr>
      <w:r>
        <w:t>（3）移动污染源减排措施。全市实行建筑垃圾、渣土运输车辆禁止上路行驶(清洁能源汽车除外)。主城区实行大型货车区域限行，引导过境车辆避开主城区行驶。全市非道路移动机械(含装载机、平地机、挖掘机、压路机、铺路机、叉车等)停止使用。全市钢铁、建材、焦化、矿山等涉及大宗物料运输的重点用车企业和城市物流配送企业，原则上不允许柴油货车进出厂区(保证安全生产运行、运输民生保障物资或特殊需求产品，以及为外贸货物、进出境旅客提供集疏运服务的国五及以上排放标准的车辆除外)。重点企业和单位在车辆出入口安装视频监控系统，并保留监控记录三个月以上。</w:t>
      </w:r>
    </w:p>
    <w:p>
      <w:pPr>
        <w:spacing w:line="580" w:lineRule="exact"/>
        <w:ind w:firstLine="640"/>
      </w:pPr>
      <w:r>
        <w:t>（4）其他污染源减排措施。加强执法检查，禁止农作物秸秆露天焚烧；禁止露天烧烤和垃圾焚烧，未按要求安装油烟净化设施的餐饮单位停业；禁止燃放烟花爆竹。露天堆放的散装物料全部苫盖，在非冰冻期内增加洒水频次。</w:t>
      </w:r>
    </w:p>
    <w:p>
      <w:pPr>
        <w:spacing w:line="580" w:lineRule="exact"/>
        <w:ind w:firstLine="643"/>
        <w:outlineLvl w:val="0"/>
        <w:rPr>
          <w:rFonts w:ascii="方正楷体_GBK" w:eastAsia="方正楷体_GBK"/>
          <w:b/>
        </w:rPr>
      </w:pPr>
      <w:r>
        <w:rPr>
          <w:rFonts w:ascii="方正楷体_GBK" w:eastAsia="方正楷体_GBK"/>
          <w:b/>
        </w:rPr>
        <w:t>（二）Ⅱ级响应</w:t>
      </w:r>
    </w:p>
    <w:p>
      <w:pPr>
        <w:spacing w:line="580" w:lineRule="exact"/>
        <w:ind w:firstLine="640"/>
      </w:pPr>
      <w:r>
        <w:t>1.健康防护措施</w:t>
      </w:r>
    </w:p>
    <w:p>
      <w:pPr>
        <w:spacing w:line="580" w:lineRule="exact"/>
        <w:ind w:firstLine="640"/>
      </w:pPr>
      <w:r>
        <w:t>（1）儿童、老年人、住院患者和患有心脑血管、呼吸系统等疾病的易感人群留在室内，确需外出的，应当采取防护措施；一般人群避免户外活动，如不可避免，应当采取防护措施。</w:t>
      </w:r>
    </w:p>
    <w:p>
      <w:pPr>
        <w:spacing w:line="580" w:lineRule="exact"/>
        <w:ind w:firstLine="640"/>
      </w:pPr>
      <w:r>
        <w:t>（2）幼儿园、中小学校等教育机构停止户外活动。</w:t>
      </w:r>
    </w:p>
    <w:p>
      <w:pPr>
        <w:spacing w:line="580" w:lineRule="exact"/>
        <w:ind w:firstLine="640"/>
      </w:pPr>
      <w:r>
        <w:t>（3）停止举办各类大型群众性户外活动。</w:t>
      </w:r>
    </w:p>
    <w:p>
      <w:pPr>
        <w:spacing w:line="580" w:lineRule="exact"/>
        <w:ind w:firstLine="640"/>
      </w:pPr>
      <w:r>
        <w:t>（4）医疗机构增设相关疾病门诊、急诊，增加医护人员，24小时值班。</w:t>
      </w:r>
    </w:p>
    <w:p>
      <w:pPr>
        <w:spacing w:line="580" w:lineRule="exact"/>
        <w:ind w:firstLine="640"/>
      </w:pPr>
      <w:r>
        <w:t>2.建议性应急措施</w:t>
      </w:r>
    </w:p>
    <w:p>
      <w:pPr>
        <w:spacing w:line="580" w:lineRule="exact"/>
        <w:ind w:firstLine="640"/>
      </w:pPr>
      <w:r>
        <w:t>（1）倡导公众绿色出行，鼓励公众尽量乘坐公共交通工具或电动汽车等方式出行；驻车及时熄火，减少车辆原地怠速运行时间。</w:t>
      </w:r>
    </w:p>
    <w:p>
      <w:pPr>
        <w:spacing w:line="580" w:lineRule="exact"/>
        <w:ind w:firstLine="640"/>
      </w:pPr>
      <w:r>
        <w:t>（2）减少机动车日间加油。</w:t>
      </w:r>
    </w:p>
    <w:p>
      <w:pPr>
        <w:spacing w:line="580" w:lineRule="exact"/>
        <w:ind w:firstLine="640"/>
      </w:pPr>
      <w:r>
        <w:t>（3）生产过程中排放大气污染物的企事业单位、各类工地等，自觉调整生产工期，减少涂料、油漆、溶剂等含挥发性有机物的原材料及产品的使用；可在达标排放的基础上提高污染治理设施效率，调整有大气污染物排放生产工艺的运行时间，主动减少大气污染物排放量。</w:t>
      </w:r>
    </w:p>
    <w:p>
      <w:pPr>
        <w:spacing w:line="580" w:lineRule="exact"/>
        <w:ind w:firstLine="640"/>
      </w:pPr>
      <w:r>
        <w:t>（4）减少散烧煤使用量。</w:t>
      </w:r>
    </w:p>
    <w:p>
      <w:pPr>
        <w:spacing w:line="580" w:lineRule="exact"/>
        <w:ind w:firstLine="640"/>
      </w:pPr>
      <w:r>
        <w:t>（5）倡导企事业单位根据重污染天气实际情况、应急强制响应措施，采取调休、错峰上下班、远程办公等弹性工作制。</w:t>
      </w:r>
    </w:p>
    <w:p>
      <w:pPr>
        <w:spacing w:line="580" w:lineRule="exact"/>
        <w:ind w:firstLine="640"/>
      </w:pPr>
      <w:r>
        <w:t>3.强制性应急措施</w:t>
      </w:r>
    </w:p>
    <w:p>
      <w:pPr>
        <w:spacing w:line="580" w:lineRule="exact"/>
        <w:ind w:firstLine="640"/>
      </w:pPr>
      <w:r>
        <w:t>（1）扬尘源减排措施。全市停止施工工地的土石方作业（包括停止土石方开挖、回填、场内倒运、掺拌石灰、混凝土剔凿等作业，停止建筑工程配套道路和管沟开挖作业）。建筑垃圾和渣土车、砂石运输车辆禁止上路行驶。非道路移动机械停止作业。市重点建设项目、民生工程、应急抢险等应严格落实“六个百分百”（工地周边百分百围挡、物料堆放百分百覆盖、出入车辆百分百冲洗、施工现场地面百分百硬化、拆迁工地百分百湿法作业、渣土车辆百分百密闭运输）要求，裸露场地全部苫盖，增加洒水降尘频次。对城区主次干道、城乡结合部道路、重要国道省道县道在日常道路保洁频次的基础上，增加吸尘、清扫、洒水、喷雾等防治扬尘作业3次（非冰冻期）。</w:t>
      </w:r>
    </w:p>
    <w:p>
      <w:pPr>
        <w:spacing w:line="580" w:lineRule="exact"/>
        <w:ind w:firstLine="640"/>
      </w:pPr>
      <w:r>
        <w:t>（2）工业污染减排措施。增加对重点大气污染源的执法检查频次，确保其大气污染防治设施高效运转，达标排放。按照重污染天气应急响应行业停限产措施（附件3）橙色预警要求，工业企业采取“一厂一策”实施停产或限产。按规定应当执行错峰生产的企业和其他大气污染物不能稳定达标排放的企业停限产。</w:t>
      </w:r>
    </w:p>
    <w:p>
      <w:pPr>
        <w:spacing w:line="580" w:lineRule="exact"/>
        <w:ind w:firstLine="640"/>
      </w:pPr>
      <w:r>
        <w:t>（3）移动污染源减排措施。全市实行建筑垃圾、渣土运输车辆禁止上路行驶(清洁能源汽车除外)。主城区实行大型货车区域限行，引导过境车辆避开主城区行驶。全市非道路移动机械(含装载机、平地机、挖掘机、压路机、铺路机、叉车等)停止使用。全市钢铁、建材、焦化、矿山等涉及大宗物料运输的重点用车企业和城市物流配送企业，原则上不允许柴油货车进出厂区(保证安全生产运行、运输民生保障物资或特殊需求产品，以及为外贸货物、进出境旅客提供集疏运服务的国五及以上排放标准的车辆除外)。重点企业和单位在车辆出入口安装视频监控系统，并保留监控记录三个月以上。</w:t>
      </w:r>
    </w:p>
    <w:p>
      <w:pPr>
        <w:spacing w:line="580" w:lineRule="exact"/>
        <w:ind w:firstLine="640"/>
      </w:pPr>
      <w:r>
        <w:t>（4）其他污染源减排措施。加强执法检查，禁止农作物秸秆露天焚烧；禁止露天烧烤和垃圾焚烧，未按要求安装油烟净化设施的餐饮单位停业；禁止燃放烟花爆竹。露天堆放的散装物料全部苫盖，在非冰冻期内增加洒水频次。</w:t>
      </w:r>
    </w:p>
    <w:p>
      <w:pPr>
        <w:spacing w:line="580" w:lineRule="exact"/>
        <w:ind w:firstLine="643"/>
        <w:outlineLvl w:val="0"/>
        <w:rPr>
          <w:rFonts w:ascii="方正楷体_GBK" w:eastAsia="方正楷体_GBK"/>
          <w:b/>
        </w:rPr>
      </w:pPr>
      <w:r>
        <w:rPr>
          <w:rFonts w:ascii="方正楷体_GBK" w:eastAsia="方正楷体_GBK"/>
          <w:b/>
        </w:rPr>
        <w:t>（三）Ⅰ级响应</w:t>
      </w:r>
    </w:p>
    <w:p>
      <w:pPr>
        <w:spacing w:line="580" w:lineRule="exact"/>
        <w:ind w:firstLine="640"/>
      </w:pPr>
      <w:r>
        <w:t>1.健康防护措施</w:t>
      </w:r>
    </w:p>
    <w:p>
      <w:pPr>
        <w:spacing w:line="580" w:lineRule="exact"/>
        <w:ind w:firstLine="640"/>
      </w:pPr>
      <w:r>
        <w:t>（1）儿童、老年人、住院患者和患有心脑血管、呼吸系统等疾病的易感人群留在室内，确需外出的，应当采取防护措施；一般人群避免户外活动，如不可避免，应当采取防护措施。</w:t>
      </w:r>
    </w:p>
    <w:p>
      <w:pPr>
        <w:spacing w:line="580" w:lineRule="exact"/>
        <w:ind w:firstLine="640"/>
      </w:pPr>
      <w:r>
        <w:t>（2）医疗机构增设相关疾病门诊、急诊，增加医护人员，24小时值班。</w:t>
      </w:r>
    </w:p>
    <w:p>
      <w:pPr>
        <w:spacing w:line="580" w:lineRule="exact"/>
        <w:ind w:firstLine="640"/>
      </w:pPr>
      <w:r>
        <w:t>（3）停止所有户外大型活动。</w:t>
      </w:r>
    </w:p>
    <w:p>
      <w:pPr>
        <w:spacing w:line="580" w:lineRule="exact"/>
        <w:ind w:firstLine="640"/>
      </w:pPr>
      <w:r>
        <w:t>2.建议性应急措施</w:t>
      </w:r>
    </w:p>
    <w:p>
      <w:pPr>
        <w:spacing w:line="580" w:lineRule="exact"/>
        <w:ind w:firstLine="640"/>
      </w:pPr>
      <w:r>
        <w:t>（1）幼儿园、中小学采取弹性教学或停课等防护措施。</w:t>
      </w:r>
    </w:p>
    <w:p>
      <w:pPr>
        <w:spacing w:line="580" w:lineRule="exact"/>
        <w:ind w:firstLine="640"/>
      </w:pPr>
      <w:r>
        <w:t>（2）倡导企事业单位根据重污染天气实际情况、应急强制响应措施，采取调休、错峰上下班、远程办公等弹性工作制。</w:t>
      </w:r>
    </w:p>
    <w:p>
      <w:pPr>
        <w:spacing w:line="580" w:lineRule="exact"/>
        <w:ind w:firstLine="640"/>
      </w:pPr>
      <w:r>
        <w:t>（3）倡导公众绿色出行，鼓励公众尽量乘坐公共交通工具或电动汽车等方式出行；驻车及时熄火，减少车辆原地怠速运行时间。</w:t>
      </w:r>
    </w:p>
    <w:p>
      <w:pPr>
        <w:spacing w:line="580" w:lineRule="exact"/>
        <w:ind w:firstLine="640"/>
      </w:pPr>
      <w:r>
        <w:t>（4）减少机动车日间加油。</w:t>
      </w:r>
    </w:p>
    <w:p>
      <w:pPr>
        <w:spacing w:line="580" w:lineRule="exact"/>
        <w:ind w:firstLine="640"/>
      </w:pPr>
      <w:r>
        <w:t>（5）生产过程中排放大气污染物的企事业单位、各类工地等，自觉调整生产工期，减少涂料、油漆、溶剂等含挥发性有机物的原材料及产品的使用；可在达标排放的基础上提高污染治理设施效率，调整有大气污染物排放生产工艺的运行时间，主动减少大气污染物排放量。</w:t>
      </w:r>
    </w:p>
    <w:p>
      <w:pPr>
        <w:spacing w:line="580" w:lineRule="exact"/>
        <w:ind w:firstLine="640"/>
      </w:pPr>
      <w:r>
        <w:t>（6）减少散烧煤使用量。</w:t>
      </w:r>
    </w:p>
    <w:p>
      <w:pPr>
        <w:spacing w:line="580" w:lineRule="exact"/>
        <w:ind w:firstLine="640"/>
      </w:pPr>
      <w:r>
        <w:t>3.强制性应急措施</w:t>
      </w:r>
    </w:p>
    <w:p>
      <w:pPr>
        <w:spacing w:line="580" w:lineRule="exact"/>
        <w:ind w:firstLine="640"/>
      </w:pPr>
      <w:r>
        <w:t>（1）扬尘源减排措施。全市停止施工工地的土石方作业（包括停止土石方开挖、回填、场内倒运、掺拌石灰、混凝土剔凿等作业，停止建筑工程配套道路和管沟开挖作业）。建筑垃圾和渣土车、砂石运输车辆禁止上路行驶。非道路移动机械停止作业。市重点建设项目、民生工程、应急抢险等应严格落实“六个百分百”（工地周边百分百围挡、物料堆放百分百覆盖、出入车辆百分百冲洗、施工现场地面百分百硬化、拆迁工地百分百湿法作业、渣土车辆百分百密闭运输）要求，裸露场地全部苫盖，增加洒水降尘频次。对城区主次干道、城乡结合部道路、重要国道省道县道在日常道路保洁频次的基础上，增加吸尘、清扫、洒水、喷雾等防治扬尘作业4次（非冰冻期）。</w:t>
      </w:r>
    </w:p>
    <w:p>
      <w:pPr>
        <w:spacing w:line="580" w:lineRule="exact"/>
        <w:ind w:firstLine="640"/>
      </w:pPr>
      <w:r>
        <w:t>（2）工业污染减排措施。增加对重点大气污染源的执法检查频次，确保其大气污染防治设施高效运转，达标排放。按照重污染天气应急响应行业停限产措施（附件3）橙色预警要求，工业企业采取“一厂一策”实施停产或限产。按规定应当执行错峰生产的企业和其他大气污染物不能稳定达标排放的企业停限产。</w:t>
      </w:r>
    </w:p>
    <w:p>
      <w:pPr>
        <w:spacing w:line="580" w:lineRule="exact"/>
        <w:ind w:firstLine="640"/>
      </w:pPr>
      <w:r>
        <w:t>（3）移动污染源减排措施。全市实行建筑垃圾、渣土运输车辆禁止上路行驶(清洁能源汽车除外)。主城区实行大型货车区域限行，引导过境车辆避开主城区行驶。全市非道路移动机械(含装载机、平地机、挖掘机、压路机、铺路机、叉车等)停止使用。全市钢铁、建材、焦化、矿山等涉及大宗物料运输的重点用车企业和城市物流配送企业，原则上不允许柴油货车进出厂区(保证安全生产运行、运输民生保障物资或特殊需求产品，以及为外贸货物、进出境旅客提供集疏运服务的国五及以上排放标准的车辆除外)。重点企业和单位在车辆出入口安装视频监控系统，并保留监控记录三个月以上。加大公交运力保障，加密运营班次，延长营运时间，增加清洁能源公交车的使用，倡导市民绿色出行。</w:t>
      </w:r>
    </w:p>
    <w:p>
      <w:pPr>
        <w:spacing w:line="580" w:lineRule="exact"/>
        <w:ind w:firstLine="640"/>
      </w:pPr>
      <w:r>
        <w:t>（4）其他污染源减排措施。加强执法检查，禁止农作物秸秆露天焚烧；禁止露天烧烤和垃圾焚烧，未按要求安装油烟净化设施的餐饮单位停业；禁止燃放烟花爆竹。露天堆放的散装物料全部苫盖，在非冰冻期内增加洒水频次。</w:t>
      </w:r>
    </w:p>
    <w:p>
      <w:pPr>
        <w:spacing w:line="580" w:lineRule="exact"/>
        <w:ind w:firstLine="640"/>
        <w:outlineLvl w:val="0"/>
        <w:rPr>
          <w:rFonts w:eastAsia="黑体"/>
        </w:rPr>
      </w:pPr>
      <w:r>
        <w:rPr>
          <w:rFonts w:eastAsia="黑体"/>
        </w:rPr>
        <w:t>六、保障措施</w:t>
      </w:r>
    </w:p>
    <w:p>
      <w:pPr>
        <w:spacing w:line="580" w:lineRule="exact"/>
        <w:ind w:firstLine="643"/>
        <w:outlineLvl w:val="0"/>
        <w:rPr>
          <w:rFonts w:ascii="方正楷体_GBK" w:eastAsia="方正楷体_GBK"/>
          <w:b/>
        </w:rPr>
      </w:pPr>
      <w:r>
        <w:rPr>
          <w:rFonts w:ascii="方正楷体_GBK" w:eastAsia="方正楷体_GBK"/>
          <w:b/>
        </w:rPr>
        <w:t>（一）督导督查</w:t>
      </w:r>
    </w:p>
    <w:p>
      <w:pPr>
        <w:spacing w:line="580" w:lineRule="exact"/>
        <w:ind w:firstLine="640"/>
      </w:pPr>
      <w:r>
        <w:t>重污染天气预警期间，市环境污染防治攻坚战指挥部办公室负责对各县（区）、管理区、开发区和市直相关委局开展督导，对照预案及实施方案、操作方案，对预警发布、措施执行、信息公开等工作进行督查，督促各项措施落实到位。</w:t>
      </w:r>
    </w:p>
    <w:p>
      <w:pPr>
        <w:spacing w:line="580" w:lineRule="exact"/>
        <w:ind w:firstLine="640"/>
      </w:pPr>
      <w:r>
        <w:t>市公安局、住建局、城管局、交通局、工信委、环保局、水利局、国土局等负有强制性减排监管或督导职责的有关成员单位，成立专项督导组，督导各项应急响应措施落实情况，每日调度、汇总督导信息。</w:t>
      </w:r>
    </w:p>
    <w:p>
      <w:pPr>
        <w:spacing w:line="580" w:lineRule="exact"/>
        <w:ind w:firstLine="643"/>
        <w:outlineLvl w:val="0"/>
        <w:rPr>
          <w:rFonts w:ascii="方正楷体_GBK" w:eastAsia="方正楷体_GBK"/>
          <w:b/>
        </w:rPr>
      </w:pPr>
      <w:r>
        <w:rPr>
          <w:rFonts w:ascii="方正楷体_GBK" w:eastAsia="方正楷体_GBK"/>
          <w:b/>
        </w:rPr>
        <w:t>（二）预案体系</w:t>
      </w:r>
    </w:p>
    <w:p>
      <w:pPr>
        <w:spacing w:line="580" w:lineRule="exact"/>
        <w:ind w:firstLine="640"/>
      </w:pPr>
      <w:r>
        <w:t>信阳市重污染天气应急预案体系包括：市重污染天气应急预案，各县（区）政府、管理区、开发区重污染天气应急实施方案，及企业重污染天气应急操作方案（“一厂一策”）。</w:t>
      </w:r>
    </w:p>
    <w:p>
      <w:pPr>
        <w:spacing w:line="580" w:lineRule="exact"/>
        <w:ind w:firstLine="640"/>
      </w:pPr>
      <w:r>
        <w:t>县级重污染天气应急实施方案应起到上传下达的作用，重点在于措施落实，应明确接警、发布预警、启动响应等具体流程，以及区县内各种污染源管控情况和应急减排措施。县级应急实施方案由当地政府印发，并报市应急指挥部备案。</w:t>
      </w:r>
    </w:p>
    <w:p>
      <w:pPr>
        <w:spacing w:line="580" w:lineRule="exact"/>
        <w:ind w:firstLine="640"/>
      </w:pPr>
      <w:r>
        <w:t>应急减排项目清单是应急预案的细化和重要组成部分。各开发区、县（区）要按照信阳市应急预案相关要求制</w:t>
      </w:r>
      <w:r>
        <w:rPr>
          <w:rFonts w:hint="eastAsia"/>
        </w:rPr>
        <w:t>订</w:t>
      </w:r>
      <w:r>
        <w:t>修订应急减排项目清单。各县（区）工业源项目清单应包括企业具体工艺环节、污染物排放量以及不同级别预警采取的应急措施和相应减排量。移动源项目清单应包括不同车辆类型、不同排放标准的机动车保有量信息和应急减排措施并估算减排量。扬尘源项目清单应包括当年施工工地、道路扬尘、堆场扬尘、减排量等信息。</w:t>
      </w:r>
    </w:p>
    <w:p>
      <w:pPr>
        <w:spacing w:line="580" w:lineRule="exact"/>
        <w:ind w:firstLine="640"/>
      </w:pPr>
      <w:r>
        <w:t>企业操作方案即（即“一厂一策”）是工业企业应急响应的具体操作性文件，应符合应急预案对企业的管控要求。各县（区）负责指导工业源项目清单所涉及的企业制定重污染天气应急响应操作方案（即“一厂一策”）并上报留存备案。操作方案应包含企业基本情况、主要生产工艺流程、主要涉气产污环节及污染物排放情况，并载明不同级别预警下的应急减排措施，明确具体的停产生产线、工艺环节和各类减排措施的关键性指标（如天然气用量、用电量等）。</w:t>
      </w:r>
    </w:p>
    <w:p>
      <w:pPr>
        <w:spacing w:line="580" w:lineRule="exact"/>
        <w:ind w:firstLine="640"/>
      </w:pPr>
      <w:r>
        <w:t>企业“一厂一策”应制作公示牌，并安装在厂区入口等显要位置。</w:t>
      </w:r>
    </w:p>
    <w:p>
      <w:pPr>
        <w:spacing w:line="580" w:lineRule="exact"/>
        <w:ind w:firstLine="643"/>
        <w:outlineLvl w:val="0"/>
        <w:rPr>
          <w:rFonts w:ascii="方正楷体_GBK" w:eastAsia="方正楷体_GBK"/>
          <w:b/>
        </w:rPr>
      </w:pPr>
      <w:r>
        <w:rPr>
          <w:rFonts w:ascii="方正楷体_GBK" w:eastAsia="方正楷体_GBK"/>
          <w:b/>
        </w:rPr>
        <w:t>（三）宣传引导</w:t>
      </w:r>
    </w:p>
    <w:p>
      <w:pPr>
        <w:spacing w:line="580" w:lineRule="exact"/>
        <w:ind w:firstLine="640"/>
      </w:pPr>
      <w:r>
        <w:t>宣传组组织各新闻媒体、职能部门，积极开展应急预案的宣传教育工作；预警信息发布后，及时通过电视、广播、手机短信、微信、微博、报纸等途径向公众发布预警信息和健康防护措施；普及重污染天气应对知识，鼓励公众参与到应对工作</w:t>
      </w:r>
      <w:r>
        <w:rPr>
          <w:rFonts w:hint="eastAsia"/>
        </w:rPr>
        <w:t>中</w:t>
      </w:r>
      <w:r>
        <w:t>来，从自身做起，倡导绿色生活，积极监督举报大气污染行为，形成全社会共同应对重污染天气的局面。</w:t>
      </w:r>
    </w:p>
    <w:p>
      <w:pPr>
        <w:spacing w:line="580" w:lineRule="exact"/>
        <w:ind w:firstLine="643"/>
        <w:outlineLvl w:val="0"/>
        <w:rPr>
          <w:rFonts w:ascii="方正楷体_GBK" w:eastAsia="方正楷体_GBK"/>
          <w:b/>
        </w:rPr>
      </w:pPr>
      <w:r>
        <w:rPr>
          <w:rFonts w:ascii="方正楷体_GBK" w:eastAsia="方正楷体_GBK"/>
          <w:b/>
        </w:rPr>
        <w:t>（四）预案演练</w:t>
      </w:r>
    </w:p>
    <w:p>
      <w:pPr>
        <w:spacing w:line="580" w:lineRule="exact"/>
        <w:ind w:firstLine="640"/>
      </w:pPr>
      <w:r>
        <w:t>应急指挥部成员单位和相关企业针对政府应急预案、部门实施方案以及企业操作方案进行演练，尤其对具体操作流程和岗位职责进行演练，提高应对能力。应急指挥部根据天气预测适时组织演练，可采用桌面推演加部分环节拉动演练的形式进行，演练结束后进行总结，针对演练暴露出的问题及时改进完善。</w:t>
      </w:r>
    </w:p>
    <w:p>
      <w:pPr>
        <w:spacing w:line="580" w:lineRule="exact"/>
        <w:ind w:firstLine="643"/>
        <w:outlineLvl w:val="0"/>
        <w:rPr>
          <w:rFonts w:ascii="方正楷体_GBK" w:eastAsia="方正楷体_GBK"/>
          <w:b/>
        </w:rPr>
      </w:pPr>
      <w:r>
        <w:rPr>
          <w:rFonts w:ascii="方正楷体_GBK" w:eastAsia="方正楷体_GBK"/>
          <w:b/>
        </w:rPr>
        <w:t>（五）资金和技术保障</w:t>
      </w:r>
    </w:p>
    <w:p>
      <w:pPr>
        <w:spacing w:line="580" w:lineRule="exact"/>
        <w:ind w:firstLine="640"/>
      </w:pPr>
      <w:r>
        <w:t>应急专项工作经费由市财政局予以保障，包括应急基础数据系统建设和运行、应急技术支持、应急装备、能力建设、实施效果评估和预案演练等所需要的资金，按照规定列入部门预算。</w:t>
      </w:r>
    </w:p>
    <w:p>
      <w:pPr>
        <w:spacing w:line="580" w:lineRule="exact"/>
        <w:ind w:firstLine="640"/>
      </w:pPr>
      <w:r>
        <w:t>市政府成立重污染天气应急工作专家组，为我市重污染天气应对工作提供技术服务。</w:t>
      </w:r>
    </w:p>
    <w:p>
      <w:pPr>
        <w:spacing w:line="580" w:lineRule="exact"/>
        <w:ind w:firstLine="640"/>
        <w:outlineLvl w:val="0"/>
        <w:rPr>
          <w:rFonts w:eastAsia="黑体"/>
        </w:rPr>
      </w:pPr>
      <w:r>
        <w:rPr>
          <w:rFonts w:eastAsia="黑体"/>
        </w:rPr>
        <w:t>七、严格奖惩</w:t>
      </w:r>
    </w:p>
    <w:p>
      <w:pPr>
        <w:spacing w:line="580" w:lineRule="exact"/>
        <w:ind w:firstLine="640"/>
      </w:pPr>
      <w:r>
        <w:t>党政机关、事业单位及其工作人员以及国有企业中的国家工作人员，未执行省、市重污染天气应急预案有关规定的，由监察部门依据有关规定进行责任追究。有关单位和企业未执行省、市重污染天气应急预案有关规定的，由主管部门依法处理，主管部门无处罚依据或资质的，移交有处罚依据和资质的上级主管部门依法查处。拒不执行市政府应急响应指令，强行施工或污染大气环境的，主管部门应当依法采取强制措施，供水供电部门应予配合。</w:t>
      </w:r>
    </w:p>
    <w:p>
      <w:pPr>
        <w:spacing w:line="580" w:lineRule="exact"/>
        <w:ind w:firstLine="640"/>
      </w:pPr>
      <w:r>
        <w:t>市政府将重污染天气应急工作纳入各级政府年度目标进行管理。在重污染天气应急工作中做出突出贡献的单位和个人,依据有关规定由单位和当地政府给予表彰或奖励。</w:t>
      </w:r>
    </w:p>
    <w:p>
      <w:pPr>
        <w:spacing w:line="580" w:lineRule="exact"/>
        <w:ind w:firstLine="640"/>
        <w:rPr>
          <w:rFonts w:eastAsia="黑体"/>
        </w:rPr>
      </w:pPr>
      <w:r>
        <w:rPr>
          <w:rFonts w:eastAsia="黑体"/>
        </w:rPr>
        <w:t>八、附则</w:t>
      </w:r>
    </w:p>
    <w:p>
      <w:pPr>
        <w:spacing w:line="580" w:lineRule="exact"/>
        <w:ind w:firstLine="640"/>
      </w:pPr>
      <w:r>
        <w:t>（1）本预案自发布之日起实施，《信阳市重污染天气应急预案》（信政文〔2017〕176号）同时废止。</w:t>
      </w:r>
    </w:p>
    <w:p>
      <w:pPr>
        <w:spacing w:line="580" w:lineRule="exact"/>
        <w:ind w:firstLine="640"/>
      </w:pPr>
      <w:r>
        <w:t>（2）各县（区）、管理区、开发区、有关部门和重点企业要依照本预案，对原来的预案或实施方案进行修订，做好与现行预案的衔接，并向社会公开。</w:t>
      </w:r>
    </w:p>
    <w:p>
      <w:pPr>
        <w:spacing w:line="580" w:lineRule="exact"/>
        <w:ind w:firstLine="640"/>
      </w:pPr>
      <w:r>
        <w:t>（3）应急减排措施以应急启动指令为准，如有必要，可进一步加大减排力度。</w:t>
      </w:r>
    </w:p>
    <w:p>
      <w:pPr>
        <w:spacing w:line="580" w:lineRule="exact"/>
        <w:ind w:firstLine="640"/>
      </w:pPr>
    </w:p>
    <w:p>
      <w:pPr>
        <w:spacing w:line="580" w:lineRule="exact"/>
        <w:ind w:firstLine="640"/>
      </w:pPr>
      <w:r>
        <w:t>附件：1．应急指挥机构成员单位及主要职责</w:t>
      </w:r>
    </w:p>
    <w:p>
      <w:pPr>
        <w:spacing w:line="580" w:lineRule="exact"/>
        <w:ind w:firstLine="640"/>
      </w:pPr>
      <w:r>
        <w:t xml:space="preserve">      2．信阳市重污染天气应急职能部门通讯录</w:t>
      </w:r>
    </w:p>
    <w:p>
      <w:pPr>
        <w:spacing w:line="580" w:lineRule="exact"/>
        <w:ind w:firstLine="640"/>
      </w:pPr>
      <w:r>
        <w:t xml:space="preserve">      3．信阳市重污染天气应急响应行业减排指导原则</w:t>
      </w:r>
    </w:p>
    <w:p>
      <w:pPr>
        <w:spacing w:line="580" w:lineRule="exact"/>
        <w:ind w:firstLine="640"/>
        <w:jc w:val="left"/>
        <w:rPr>
          <w:rFonts w:eastAsia="黑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814" w:left="1531" w:header="851" w:footer="992" w:gutter="0"/>
          <w:cols w:space="720" w:num="1"/>
          <w:docGrid w:type="lines" w:linePitch="435" w:charSpace="0"/>
        </w:sectPr>
      </w:pPr>
    </w:p>
    <w:p>
      <w:pPr>
        <w:spacing w:line="580" w:lineRule="exact"/>
        <w:jc w:val="left"/>
        <w:rPr>
          <w:rFonts w:eastAsia="黑体"/>
        </w:rPr>
      </w:pPr>
      <w:r>
        <w:rPr>
          <w:rFonts w:eastAsia="黑体"/>
        </w:rPr>
        <w:t>附件1</w:t>
      </w:r>
    </w:p>
    <w:p>
      <w:pPr>
        <w:spacing w:line="580" w:lineRule="exact"/>
        <w:jc w:val="center"/>
        <w:rPr>
          <w:rFonts w:eastAsia="方正小标宋_GBK"/>
          <w:sz w:val="44"/>
          <w:szCs w:val="44"/>
        </w:rPr>
      </w:pPr>
      <w:r>
        <w:rPr>
          <w:rFonts w:eastAsia="方正小标宋_GBK"/>
          <w:sz w:val="44"/>
          <w:szCs w:val="44"/>
        </w:rPr>
        <w:t>应急指挥机构成员单位及主要职责</w:t>
      </w:r>
    </w:p>
    <w:p>
      <w:pPr>
        <w:spacing w:line="580" w:lineRule="exact"/>
        <w:ind w:firstLine="640"/>
        <w:rPr>
          <w:rFonts w:eastAsia="黑体"/>
        </w:rPr>
      </w:pPr>
    </w:p>
    <w:p>
      <w:pPr>
        <w:spacing w:line="580" w:lineRule="exact"/>
        <w:ind w:firstLine="640"/>
        <w:rPr>
          <w:rFonts w:eastAsia="黑体"/>
        </w:rPr>
      </w:pPr>
      <w:r>
        <w:rPr>
          <w:rFonts w:eastAsia="黑体"/>
        </w:rPr>
        <w:t>一、指挥部主要职责</w:t>
      </w:r>
    </w:p>
    <w:p>
      <w:pPr>
        <w:spacing w:line="580" w:lineRule="exact"/>
        <w:ind w:firstLine="640"/>
      </w:pPr>
      <w:r>
        <w:t>研究制定我市应对重污染天气的政策措施和指导意见；领导、指挥、协调全市重污染天气应对工作。</w:t>
      </w:r>
    </w:p>
    <w:p>
      <w:pPr>
        <w:spacing w:line="580" w:lineRule="exact"/>
        <w:ind w:firstLine="640"/>
        <w:rPr>
          <w:rFonts w:eastAsia="黑体"/>
        </w:rPr>
      </w:pPr>
      <w:r>
        <w:rPr>
          <w:rFonts w:eastAsia="黑体"/>
        </w:rPr>
        <w:t>二、指挥部办公室职责</w:t>
      </w:r>
    </w:p>
    <w:p>
      <w:pPr>
        <w:spacing w:line="580" w:lineRule="exact"/>
        <w:ind w:firstLine="640"/>
      </w:pPr>
      <w:r>
        <w:t>办公室下设技术组、综合组、宣传组。技术组由市环保局、市气象局等单位人员组成；综合组由市环境攻坚办牵头成立；宣传组由指挥部办公室牵头成立，市委宣传部配合完成工作任务</w:t>
      </w:r>
      <w:r>
        <w:rPr>
          <w:rFonts w:hint="eastAsia"/>
        </w:rPr>
        <w:t>。</w:t>
      </w:r>
      <w:r>
        <w:t>办公室主要负责贯彻落实指挥部的指令和部署，组织重污染天气应对研判、会商以及相关信息发布和上报，督导市指挥部各成员单位落实重污染天气职责分工，组织对重污染天气应对工作进行分析、总结，组织开展重污染天气应急演练和培训工作，负责重污染天气应急预案管理有关工作，承担指挥部交办的其他工作。</w:t>
      </w:r>
    </w:p>
    <w:p>
      <w:pPr>
        <w:spacing w:line="580" w:lineRule="exact"/>
        <w:ind w:firstLine="640"/>
        <w:rPr>
          <w:rFonts w:eastAsia="黑体"/>
        </w:rPr>
      </w:pPr>
      <w:r>
        <w:rPr>
          <w:rFonts w:eastAsia="黑体"/>
        </w:rPr>
        <w:t>三、市指挥部成员单位及其他职责</w:t>
      </w:r>
    </w:p>
    <w:p>
      <w:pPr>
        <w:spacing w:line="580" w:lineRule="exact"/>
        <w:ind w:firstLine="640"/>
      </w:pPr>
      <w:r>
        <w:t>市指挥部各成员单位按照“党政同责、一岗双责”和“管行业必须管环保、管业务必须管环保，管生产经营必须管环保”的要求，履行重污染天气应急响应职责，具体分工如下：</w:t>
      </w:r>
    </w:p>
    <w:p>
      <w:pPr>
        <w:spacing w:line="580" w:lineRule="exact"/>
        <w:ind w:firstLine="640"/>
      </w:pPr>
      <w:r>
        <w:t>市委宣传部负责重污染天气应对的宣传报道工作，根据指挥部办公室发布的权威信息，协调报社、电台、电视台等相关新闻媒体做好宣传报道工作。</w:t>
      </w:r>
    </w:p>
    <w:p>
      <w:pPr>
        <w:spacing w:line="580" w:lineRule="exact"/>
        <w:ind w:firstLine="640"/>
      </w:pPr>
      <w:r>
        <w:t>市纪委监察委负责对违反有关规定问题进行责任追究。</w:t>
      </w:r>
    </w:p>
    <w:p>
      <w:pPr>
        <w:spacing w:line="580" w:lineRule="exact"/>
        <w:ind w:firstLine="640"/>
      </w:pPr>
      <w:r>
        <w:t>市政府应急办负责向省政府应急办报送有关情况，传达省、市领导批示要求，协调做好重污染天气应对有关工作。</w:t>
      </w:r>
    </w:p>
    <w:p>
      <w:pPr>
        <w:spacing w:line="580" w:lineRule="exact"/>
        <w:ind w:firstLine="640"/>
      </w:pPr>
      <w:r>
        <w:t>市公安局负责对燃放烟花爆竹实施监督管理，做好大型集会的管控；实施车辆管控措施，查处违反管控规定的机动车；及时向市指挥部办公室报告应急工作开展情况。</w:t>
      </w:r>
    </w:p>
    <w:p>
      <w:pPr>
        <w:spacing w:line="580" w:lineRule="exact"/>
        <w:ind w:firstLine="640"/>
      </w:pPr>
      <w:r>
        <w:t>市环境保护局负责环境空气质量监测，会同市气象局开展环境空气质量预报和重污染天气预警会商研判，向指挥部报告空气质量预报结果和会商研判意见，并提出发布、调整、解除预警建议；发生重污染天气时，督导各辖区加大对工业企业等大气污染源的执法检查频次，及时向市指挥部办公室报告应急工作开展情况。</w:t>
      </w:r>
    </w:p>
    <w:p>
      <w:pPr>
        <w:spacing w:line="580" w:lineRule="exact"/>
        <w:ind w:firstLine="640"/>
      </w:pPr>
      <w:r>
        <w:t>市气象局负责开展空气污染气象条件等级分析预报，会同市环境保护局做好重污染天气预警会商、空气质量预报、发布重污染天气气象信息工作；适时开展人工影响天气作业；及时向市指挥部办公室报告应急工作开展情况。</w:t>
      </w:r>
    </w:p>
    <w:p>
      <w:pPr>
        <w:spacing w:line="580" w:lineRule="exact"/>
        <w:ind w:firstLine="640"/>
      </w:pPr>
      <w:r>
        <w:t>市工业和信息化委负责组织实施工业企业错峰生产，并联合市环境保护局等部门对工业企业限产、停产减排措施落实情况进行督导检查。</w:t>
      </w:r>
    </w:p>
    <w:p>
      <w:pPr>
        <w:spacing w:line="580" w:lineRule="exact"/>
        <w:ind w:firstLine="640"/>
      </w:pPr>
      <w:r>
        <w:t>市工商局负责流通领域煤炭质量和成品油质量管理，查处销售不符合国家标准的煤炭和油品违法行为；及时向市指挥部办公室报告应急工作开展情况。</w:t>
      </w:r>
    </w:p>
    <w:p>
      <w:pPr>
        <w:spacing w:line="580" w:lineRule="exact"/>
        <w:ind w:firstLine="640"/>
      </w:pPr>
      <w:r>
        <w:t>市住房和城乡建设局负责建筑施工扬尘污染防治和减排，督促施工单位落实扬尘污染控制措施，监督建筑施工工地落实停工停止土石方等措施；及时向市指挥部办公室报告应急工作开展情况。</w:t>
      </w:r>
    </w:p>
    <w:p>
      <w:pPr>
        <w:spacing w:line="580" w:lineRule="exact"/>
        <w:ind w:firstLine="640"/>
      </w:pPr>
      <w:r>
        <w:t>市城市管理局负责城区道路扬尘抑制和禁止焚烧树叶、垃圾，禁止露天烧烤、违章占道经营烧烤，做好园林绿化扬尘防治，监督市政施工工地落实停工停止土石方等措施，及时向市指挥部办公室报告应急工作开展情况。</w:t>
      </w:r>
    </w:p>
    <w:p>
      <w:pPr>
        <w:spacing w:line="580" w:lineRule="exact"/>
        <w:ind w:firstLine="640"/>
      </w:pPr>
      <w:r>
        <w:t>市交通运输局负责公交运力保障，增加清洁能源公交车的使用，倡导市民绿色出行；负责加强交通工程施工和公路运输监督管理，采取有效措施防治公路扬尘污染；配合市公安局做好应急响应期间交通管制工作；及时向市指挥部办公室报告应急工作开展情况。</w:t>
      </w:r>
    </w:p>
    <w:p>
      <w:pPr>
        <w:spacing w:line="580" w:lineRule="exact"/>
        <w:ind w:firstLine="640"/>
      </w:pPr>
      <w:r>
        <w:t>市发展改革委负责督促全市燃煤发电企业落实限产限排措施，并对执行情况进行监督检查；及时向市指挥部办公室报告应急工作开展情况。</w:t>
      </w:r>
    </w:p>
    <w:p>
      <w:pPr>
        <w:spacing w:line="580" w:lineRule="exact"/>
        <w:ind w:firstLine="640"/>
      </w:pPr>
      <w:r>
        <w:t>市水利局负责督导落实水利工程工地扬尘防治、停止土石方施工作业；及时向市指挥部办公室报告应急工作开展情况。</w:t>
      </w:r>
    </w:p>
    <w:p>
      <w:pPr>
        <w:spacing w:line="580" w:lineRule="exact"/>
        <w:ind w:firstLine="640"/>
      </w:pPr>
      <w:r>
        <w:t>市规划局负责工程项目规划审批后，工程主体项目施工前期的工地扬尘管控工作；及时向市指挥部办公室报告应急工作开展情况。</w:t>
      </w:r>
    </w:p>
    <w:p>
      <w:pPr>
        <w:spacing w:line="580" w:lineRule="exact"/>
        <w:ind w:firstLine="640"/>
      </w:pPr>
      <w:r>
        <w:t>市国土资源局负责监督矿山开采企业依法依规进行作业，落实重污染天气应急管控措施，取缔私控滥采；及时向市指挥部办公室报告应急工作开展情况。</w:t>
      </w:r>
    </w:p>
    <w:p>
      <w:pPr>
        <w:spacing w:line="580" w:lineRule="exact"/>
        <w:ind w:firstLine="640"/>
      </w:pPr>
      <w:r>
        <w:t>市房管中心负责城区内市政府批准的国有土地房屋征收项目拆迁工地及建筑施工项目主体工程完工后，附属工程扬尘污染治理与防控；及时向市指挥部办公室报告应急工作开展情况。</w:t>
      </w:r>
    </w:p>
    <w:p>
      <w:pPr>
        <w:spacing w:line="580" w:lineRule="exact"/>
        <w:ind w:firstLine="640"/>
      </w:pPr>
      <w:r>
        <w:t>市人防办负责人防工程扬尘污染治理与防控；及时向市指挥部办公室报告应急工作开展情况。</w:t>
      </w:r>
    </w:p>
    <w:p>
      <w:pPr>
        <w:spacing w:line="580" w:lineRule="exact"/>
        <w:ind w:firstLine="640"/>
      </w:pPr>
      <w:r>
        <w:t>市卫生和计划生育委负责督导医疗机构落实增设相关疾病门诊、急诊，增加医护人员等重污染天气应急诊疗措施；配合宣传部门做好健康预防知识普及工作；及时向市指挥部办公室报告应急工作开展情况。</w:t>
      </w:r>
    </w:p>
    <w:p>
      <w:pPr>
        <w:spacing w:line="580" w:lineRule="exact"/>
        <w:ind w:firstLine="640"/>
      </w:pPr>
      <w:r>
        <w:t>市财政局负责保障重污染天气应对工作所需资金，并对应急资金的安排、使用、管理情况进行监督；及时向市指挥部办公室报告应急工作开展情况。</w:t>
      </w:r>
    </w:p>
    <w:p>
      <w:pPr>
        <w:spacing w:line="580" w:lineRule="exact"/>
        <w:ind w:firstLine="640"/>
      </w:pPr>
      <w:r>
        <w:t>市教育局负责督导中小学校和幼儿园落实重污染天气应急措施；及时向市指挥部办公室报告应急工作开展情况。</w:t>
      </w:r>
    </w:p>
    <w:p>
      <w:pPr>
        <w:spacing w:line="580" w:lineRule="exact"/>
        <w:ind w:firstLine="640"/>
      </w:pPr>
      <w:r>
        <w:t>市农业局负责督导各辖区做好农作物秸杆禁烧工作，及时向市指挥部办公室报告禁烧工作开展情况。</w:t>
      </w:r>
    </w:p>
    <w:p>
      <w:pPr>
        <w:spacing w:line="580" w:lineRule="exact"/>
        <w:ind w:firstLine="640"/>
      </w:pPr>
      <w:r>
        <w:t>市文化广电新闻出版局负责广播电视类重污染天气预防、控制措施的宣传报道工作，并督导检查落实情况；及时向市指挥部办公室报告应急工作开展情况。</w:t>
      </w:r>
    </w:p>
    <w:p>
      <w:pPr>
        <w:spacing w:line="580" w:lineRule="exact"/>
        <w:ind w:firstLine="640"/>
      </w:pPr>
      <w:r>
        <w:t>市机关事务管理局负责督查公务用车落实限行措施，负责重污染天气应对处置工作全过程公务用车保障；及时向市指挥部办公室报告公车限行执行情况。</w:t>
      </w:r>
    </w:p>
    <w:p>
      <w:pPr>
        <w:spacing w:line="580" w:lineRule="exact"/>
        <w:ind w:firstLine="640"/>
      </w:pPr>
      <w:r>
        <w:t>国网信阳供电公司：负责提供有关企事业单位用电信息，配合有关部门对拒不执行市政府应急指令和拒不落实减排措施的用电单位实施电力管控措施；及时向市指挥部办公室报告应急工作开展情况。</w:t>
      </w:r>
    </w:p>
    <w:p>
      <w:pPr>
        <w:spacing w:line="580" w:lineRule="exact"/>
        <w:ind w:firstLine="640"/>
      </w:pPr>
      <w:r>
        <w:t>各县、区人民政府，管理区、开发区：负责本辖区内重污染天气应对工作，成立重污染天气应急指挥机构，明确工作职责，结合实际制定本辖区内的重污染天气应急实施方案，督促辖区企业和施工工地落实停产限产、停工停业和防尘降尘措施，督导辖区有关部门履行环境应急职能，强化监测站点周围环境综合治理；及时向市指挥部办公室报告应急工作开展情况。</w:t>
      </w:r>
    </w:p>
    <w:p>
      <w:pPr>
        <w:spacing w:line="580" w:lineRule="exact"/>
        <w:ind w:firstLine="640"/>
        <w:rPr>
          <w:rFonts w:eastAsia="仿宋_GB2312"/>
        </w:rPr>
      </w:pPr>
    </w:p>
    <w:p>
      <w:pPr>
        <w:spacing w:line="570" w:lineRule="exact"/>
        <w:sectPr>
          <w:pgSz w:w="11906" w:h="16838"/>
          <w:pgMar w:top="1440" w:right="1797" w:bottom="1440" w:left="1797" w:header="851" w:footer="992" w:gutter="0"/>
          <w:cols w:space="425" w:num="1"/>
          <w:docGrid w:type="lines" w:linePitch="312" w:charSpace="0"/>
        </w:sectPr>
      </w:pPr>
    </w:p>
    <w:p>
      <w:pPr>
        <w:jc w:val="left"/>
        <w:rPr>
          <w:rFonts w:eastAsia="黑体"/>
        </w:rPr>
      </w:pPr>
      <w:r>
        <w:rPr>
          <w:rFonts w:eastAsia="黑体"/>
        </w:rPr>
        <w:t>附件2</w:t>
      </w:r>
    </w:p>
    <w:p>
      <w:pPr>
        <w:spacing w:after="156" w:afterLines="50" w:line="700" w:lineRule="exact"/>
        <w:jc w:val="center"/>
        <w:rPr>
          <w:rFonts w:eastAsia="方正小标宋_GBK"/>
          <w:bCs/>
          <w:sz w:val="44"/>
          <w:szCs w:val="44"/>
        </w:rPr>
      </w:pPr>
      <w:r>
        <w:rPr>
          <w:rFonts w:eastAsia="方正小标宋_GBK"/>
          <w:bCs/>
          <w:sz w:val="44"/>
          <w:szCs w:val="44"/>
        </w:rPr>
        <w:t>信阳市重污染天气应急职能部门通讯录</w:t>
      </w:r>
    </w:p>
    <w:tbl>
      <w:tblPr>
        <w:tblStyle w:val="4"/>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161"/>
        <w:gridCol w:w="3592"/>
        <w:gridCol w:w="3416"/>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42" w:type="dxa"/>
            <w:noWrap w:val="0"/>
            <w:vAlign w:val="center"/>
          </w:tcPr>
          <w:p>
            <w:pPr>
              <w:spacing w:line="540" w:lineRule="exact"/>
              <w:jc w:val="center"/>
              <w:rPr>
                <w:rFonts w:eastAsia="黑体"/>
                <w:bCs/>
                <w:sz w:val="28"/>
                <w:szCs w:val="28"/>
              </w:rPr>
            </w:pPr>
            <w:r>
              <w:rPr>
                <w:rFonts w:eastAsia="黑体"/>
                <w:bCs/>
                <w:sz w:val="28"/>
                <w:szCs w:val="28"/>
              </w:rPr>
              <w:t>分类</w:t>
            </w:r>
          </w:p>
        </w:tc>
        <w:tc>
          <w:tcPr>
            <w:tcW w:w="3161" w:type="dxa"/>
            <w:noWrap w:val="0"/>
            <w:vAlign w:val="center"/>
          </w:tcPr>
          <w:p>
            <w:pPr>
              <w:spacing w:line="540" w:lineRule="exact"/>
              <w:jc w:val="center"/>
              <w:rPr>
                <w:rFonts w:eastAsia="黑体"/>
                <w:bCs/>
                <w:sz w:val="28"/>
                <w:szCs w:val="28"/>
              </w:rPr>
            </w:pPr>
            <w:r>
              <w:rPr>
                <w:rFonts w:eastAsia="黑体"/>
                <w:bCs/>
                <w:sz w:val="28"/>
                <w:szCs w:val="28"/>
              </w:rPr>
              <w:t>单位</w:t>
            </w:r>
          </w:p>
        </w:tc>
        <w:tc>
          <w:tcPr>
            <w:tcW w:w="3592" w:type="dxa"/>
            <w:noWrap w:val="0"/>
            <w:vAlign w:val="center"/>
          </w:tcPr>
          <w:p>
            <w:pPr>
              <w:spacing w:line="540" w:lineRule="exact"/>
              <w:jc w:val="center"/>
              <w:rPr>
                <w:rFonts w:eastAsia="黑体"/>
                <w:bCs/>
                <w:sz w:val="28"/>
                <w:szCs w:val="28"/>
              </w:rPr>
            </w:pPr>
            <w:r>
              <w:rPr>
                <w:rFonts w:eastAsia="黑体"/>
                <w:bCs/>
                <w:sz w:val="28"/>
                <w:szCs w:val="28"/>
              </w:rPr>
              <w:t>联系电话</w:t>
            </w:r>
          </w:p>
        </w:tc>
        <w:tc>
          <w:tcPr>
            <w:tcW w:w="3416" w:type="dxa"/>
            <w:noWrap w:val="0"/>
            <w:vAlign w:val="center"/>
          </w:tcPr>
          <w:p>
            <w:pPr>
              <w:spacing w:line="540" w:lineRule="exact"/>
              <w:jc w:val="center"/>
              <w:rPr>
                <w:rFonts w:eastAsia="黑体"/>
                <w:bCs/>
                <w:sz w:val="28"/>
                <w:szCs w:val="28"/>
              </w:rPr>
            </w:pPr>
            <w:r>
              <w:rPr>
                <w:rFonts w:eastAsia="黑体"/>
                <w:bCs/>
                <w:sz w:val="28"/>
                <w:szCs w:val="28"/>
              </w:rPr>
              <w:t>单位</w:t>
            </w:r>
          </w:p>
        </w:tc>
        <w:tc>
          <w:tcPr>
            <w:tcW w:w="2863" w:type="dxa"/>
            <w:noWrap w:val="0"/>
            <w:vAlign w:val="center"/>
          </w:tcPr>
          <w:p>
            <w:pPr>
              <w:spacing w:line="540" w:lineRule="exact"/>
              <w:jc w:val="center"/>
              <w:rPr>
                <w:rFonts w:eastAsia="黑体"/>
                <w:bCs/>
                <w:sz w:val="28"/>
                <w:szCs w:val="28"/>
              </w:rPr>
            </w:pPr>
            <w:r>
              <w:rPr>
                <w:rFonts w:eastAsia="黑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spacing w:line="540" w:lineRule="exact"/>
              <w:jc w:val="center"/>
              <w:rPr>
                <w:sz w:val="28"/>
                <w:szCs w:val="28"/>
              </w:rPr>
            </w:pPr>
            <w:r>
              <w:rPr>
                <w:sz w:val="28"/>
                <w:szCs w:val="28"/>
              </w:rPr>
              <w:t>政府职能部门</w:t>
            </w:r>
          </w:p>
        </w:tc>
        <w:tc>
          <w:tcPr>
            <w:tcW w:w="3161" w:type="dxa"/>
            <w:noWrap w:val="0"/>
            <w:vAlign w:val="center"/>
          </w:tcPr>
          <w:p>
            <w:pPr>
              <w:spacing w:line="540" w:lineRule="exact"/>
              <w:jc w:val="center"/>
              <w:rPr>
                <w:sz w:val="28"/>
                <w:szCs w:val="28"/>
              </w:rPr>
            </w:pPr>
            <w:r>
              <w:rPr>
                <w:sz w:val="28"/>
                <w:szCs w:val="28"/>
              </w:rPr>
              <w:t>市委宣传部</w:t>
            </w:r>
          </w:p>
        </w:tc>
        <w:tc>
          <w:tcPr>
            <w:tcW w:w="3592" w:type="dxa"/>
            <w:noWrap w:val="0"/>
            <w:vAlign w:val="center"/>
          </w:tcPr>
          <w:p>
            <w:pPr>
              <w:spacing w:line="540" w:lineRule="exact"/>
              <w:jc w:val="center"/>
              <w:rPr>
                <w:sz w:val="28"/>
                <w:szCs w:val="28"/>
              </w:rPr>
            </w:pPr>
            <w:r>
              <w:rPr>
                <w:sz w:val="28"/>
                <w:szCs w:val="28"/>
              </w:rPr>
              <w:t>0376-6366768</w:t>
            </w:r>
          </w:p>
        </w:tc>
        <w:tc>
          <w:tcPr>
            <w:tcW w:w="3416" w:type="dxa"/>
            <w:noWrap w:val="0"/>
            <w:vAlign w:val="center"/>
          </w:tcPr>
          <w:p>
            <w:pPr>
              <w:spacing w:line="540" w:lineRule="exact"/>
              <w:jc w:val="center"/>
              <w:rPr>
                <w:sz w:val="28"/>
                <w:szCs w:val="28"/>
              </w:rPr>
            </w:pPr>
            <w:r>
              <w:rPr>
                <w:sz w:val="28"/>
                <w:szCs w:val="28"/>
              </w:rPr>
              <w:t>市水利局</w:t>
            </w:r>
          </w:p>
        </w:tc>
        <w:tc>
          <w:tcPr>
            <w:tcW w:w="2863" w:type="dxa"/>
            <w:noWrap w:val="0"/>
            <w:vAlign w:val="center"/>
          </w:tcPr>
          <w:p>
            <w:pPr>
              <w:spacing w:line="540" w:lineRule="exact"/>
              <w:jc w:val="center"/>
              <w:rPr>
                <w:sz w:val="28"/>
                <w:szCs w:val="28"/>
              </w:rPr>
            </w:pPr>
            <w:r>
              <w:rPr>
                <w:sz w:val="28"/>
                <w:szCs w:val="28"/>
              </w:rPr>
              <w:t>0376-6222702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市纪委监察委</w:t>
            </w:r>
          </w:p>
        </w:tc>
        <w:tc>
          <w:tcPr>
            <w:tcW w:w="3592" w:type="dxa"/>
            <w:noWrap w:val="0"/>
            <w:vAlign w:val="center"/>
          </w:tcPr>
          <w:p>
            <w:pPr>
              <w:spacing w:line="540" w:lineRule="exact"/>
              <w:jc w:val="center"/>
              <w:rPr>
                <w:sz w:val="28"/>
                <w:szCs w:val="28"/>
              </w:rPr>
            </w:pPr>
            <w:r>
              <w:rPr>
                <w:sz w:val="28"/>
                <w:szCs w:val="28"/>
              </w:rPr>
              <w:t>0376-6222999</w:t>
            </w:r>
          </w:p>
        </w:tc>
        <w:tc>
          <w:tcPr>
            <w:tcW w:w="3416" w:type="dxa"/>
            <w:noWrap w:val="0"/>
            <w:vAlign w:val="center"/>
          </w:tcPr>
          <w:p>
            <w:pPr>
              <w:spacing w:line="540" w:lineRule="exact"/>
              <w:jc w:val="center"/>
              <w:rPr>
                <w:sz w:val="28"/>
                <w:szCs w:val="28"/>
              </w:rPr>
            </w:pPr>
            <w:r>
              <w:rPr>
                <w:sz w:val="28"/>
                <w:szCs w:val="28"/>
              </w:rPr>
              <w:t>市规划局</w:t>
            </w:r>
          </w:p>
        </w:tc>
        <w:tc>
          <w:tcPr>
            <w:tcW w:w="2863" w:type="dxa"/>
            <w:noWrap w:val="0"/>
            <w:vAlign w:val="center"/>
          </w:tcPr>
          <w:p>
            <w:pPr>
              <w:spacing w:line="540" w:lineRule="exact"/>
              <w:jc w:val="center"/>
              <w:rPr>
                <w:sz w:val="28"/>
                <w:szCs w:val="28"/>
              </w:rPr>
            </w:pPr>
            <w:r>
              <w:rPr>
                <w:sz w:val="28"/>
                <w:szCs w:val="28"/>
              </w:rPr>
              <w:t>0376-7639001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市政府应急办</w:t>
            </w:r>
          </w:p>
        </w:tc>
        <w:tc>
          <w:tcPr>
            <w:tcW w:w="3592" w:type="dxa"/>
            <w:noWrap w:val="0"/>
            <w:vAlign w:val="center"/>
          </w:tcPr>
          <w:p>
            <w:pPr>
              <w:spacing w:line="540" w:lineRule="exact"/>
              <w:jc w:val="center"/>
              <w:rPr>
                <w:sz w:val="28"/>
                <w:szCs w:val="28"/>
              </w:rPr>
            </w:pPr>
            <w:r>
              <w:rPr>
                <w:sz w:val="28"/>
                <w:szCs w:val="28"/>
              </w:rPr>
              <w:t>0376-6278179</w:t>
            </w:r>
          </w:p>
        </w:tc>
        <w:tc>
          <w:tcPr>
            <w:tcW w:w="3416" w:type="dxa"/>
            <w:noWrap w:val="0"/>
            <w:vAlign w:val="center"/>
          </w:tcPr>
          <w:p>
            <w:pPr>
              <w:spacing w:line="540" w:lineRule="exact"/>
              <w:jc w:val="center"/>
              <w:rPr>
                <w:sz w:val="28"/>
                <w:szCs w:val="28"/>
              </w:rPr>
            </w:pPr>
            <w:r>
              <w:rPr>
                <w:sz w:val="28"/>
                <w:szCs w:val="28"/>
              </w:rPr>
              <w:t>市国土资源局</w:t>
            </w:r>
          </w:p>
        </w:tc>
        <w:tc>
          <w:tcPr>
            <w:tcW w:w="2863" w:type="dxa"/>
            <w:noWrap w:val="0"/>
            <w:vAlign w:val="center"/>
          </w:tcPr>
          <w:p>
            <w:pPr>
              <w:spacing w:line="540" w:lineRule="exact"/>
              <w:jc w:val="center"/>
              <w:rPr>
                <w:sz w:val="28"/>
                <w:szCs w:val="28"/>
              </w:rPr>
            </w:pPr>
            <w:r>
              <w:rPr>
                <w:sz w:val="28"/>
                <w:szCs w:val="28"/>
              </w:rPr>
              <w:t>0376-6688620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市公安局</w:t>
            </w:r>
          </w:p>
        </w:tc>
        <w:tc>
          <w:tcPr>
            <w:tcW w:w="3592" w:type="dxa"/>
            <w:noWrap w:val="0"/>
            <w:vAlign w:val="center"/>
          </w:tcPr>
          <w:p>
            <w:pPr>
              <w:spacing w:line="540" w:lineRule="exact"/>
              <w:jc w:val="center"/>
              <w:rPr>
                <w:sz w:val="28"/>
                <w:szCs w:val="28"/>
              </w:rPr>
            </w:pPr>
            <w:r>
              <w:rPr>
                <w:sz w:val="28"/>
                <w:szCs w:val="28"/>
              </w:rPr>
              <w:t>0376-6520219</w:t>
            </w:r>
          </w:p>
        </w:tc>
        <w:tc>
          <w:tcPr>
            <w:tcW w:w="3416" w:type="dxa"/>
            <w:noWrap w:val="0"/>
            <w:vAlign w:val="center"/>
          </w:tcPr>
          <w:p>
            <w:pPr>
              <w:spacing w:line="540" w:lineRule="exact"/>
              <w:jc w:val="center"/>
              <w:rPr>
                <w:sz w:val="28"/>
                <w:szCs w:val="28"/>
              </w:rPr>
            </w:pPr>
            <w:r>
              <w:rPr>
                <w:sz w:val="28"/>
                <w:szCs w:val="28"/>
              </w:rPr>
              <w:t>市房管中心</w:t>
            </w:r>
          </w:p>
        </w:tc>
        <w:tc>
          <w:tcPr>
            <w:tcW w:w="2863" w:type="dxa"/>
            <w:noWrap w:val="0"/>
            <w:vAlign w:val="center"/>
          </w:tcPr>
          <w:p>
            <w:pPr>
              <w:spacing w:line="540" w:lineRule="exact"/>
              <w:jc w:val="center"/>
              <w:rPr>
                <w:sz w:val="28"/>
                <w:szCs w:val="28"/>
              </w:rPr>
            </w:pPr>
            <w:r>
              <w:rPr>
                <w:sz w:val="28"/>
                <w:szCs w:val="28"/>
              </w:rPr>
              <w:t>0376-6225361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市发展改革委</w:t>
            </w:r>
          </w:p>
        </w:tc>
        <w:tc>
          <w:tcPr>
            <w:tcW w:w="3592" w:type="dxa"/>
            <w:noWrap w:val="0"/>
            <w:vAlign w:val="center"/>
          </w:tcPr>
          <w:p>
            <w:pPr>
              <w:spacing w:line="540" w:lineRule="exact"/>
              <w:jc w:val="center"/>
              <w:rPr>
                <w:sz w:val="28"/>
                <w:szCs w:val="28"/>
              </w:rPr>
            </w:pPr>
            <w:r>
              <w:rPr>
                <w:sz w:val="28"/>
                <w:szCs w:val="28"/>
              </w:rPr>
              <w:t>0376-6365001</w:t>
            </w:r>
          </w:p>
        </w:tc>
        <w:tc>
          <w:tcPr>
            <w:tcW w:w="3416" w:type="dxa"/>
            <w:noWrap w:val="0"/>
            <w:vAlign w:val="center"/>
          </w:tcPr>
          <w:p>
            <w:pPr>
              <w:spacing w:line="540" w:lineRule="exact"/>
              <w:jc w:val="center"/>
              <w:rPr>
                <w:sz w:val="28"/>
                <w:szCs w:val="28"/>
              </w:rPr>
            </w:pPr>
            <w:r>
              <w:rPr>
                <w:sz w:val="28"/>
                <w:szCs w:val="28"/>
              </w:rPr>
              <w:t>市人防办</w:t>
            </w:r>
          </w:p>
        </w:tc>
        <w:tc>
          <w:tcPr>
            <w:tcW w:w="2863" w:type="dxa"/>
            <w:noWrap w:val="0"/>
            <w:vAlign w:val="center"/>
          </w:tcPr>
          <w:p>
            <w:pPr>
              <w:spacing w:line="540" w:lineRule="exact"/>
              <w:jc w:val="center"/>
              <w:rPr>
                <w:sz w:val="28"/>
                <w:szCs w:val="28"/>
              </w:rPr>
            </w:pPr>
            <w:r>
              <w:rPr>
                <w:sz w:val="28"/>
                <w:szCs w:val="28"/>
              </w:rPr>
              <w:t>0376-6236538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市环境保护局</w:t>
            </w:r>
          </w:p>
        </w:tc>
        <w:tc>
          <w:tcPr>
            <w:tcW w:w="3592" w:type="dxa"/>
            <w:noWrap w:val="0"/>
            <w:vAlign w:val="center"/>
          </w:tcPr>
          <w:p>
            <w:pPr>
              <w:spacing w:line="540" w:lineRule="exact"/>
              <w:jc w:val="center"/>
              <w:rPr>
                <w:sz w:val="28"/>
                <w:szCs w:val="28"/>
              </w:rPr>
            </w:pPr>
            <w:r>
              <w:rPr>
                <w:sz w:val="28"/>
                <w:szCs w:val="28"/>
              </w:rPr>
              <w:t>0376-6530001</w:t>
            </w:r>
          </w:p>
        </w:tc>
        <w:tc>
          <w:tcPr>
            <w:tcW w:w="3416" w:type="dxa"/>
            <w:noWrap w:val="0"/>
            <w:vAlign w:val="center"/>
          </w:tcPr>
          <w:p>
            <w:pPr>
              <w:spacing w:line="540" w:lineRule="exact"/>
              <w:jc w:val="center"/>
              <w:rPr>
                <w:sz w:val="28"/>
                <w:szCs w:val="28"/>
              </w:rPr>
            </w:pPr>
            <w:r>
              <w:rPr>
                <w:sz w:val="28"/>
                <w:szCs w:val="28"/>
              </w:rPr>
              <w:t>市卫生和计划生育委</w:t>
            </w:r>
          </w:p>
        </w:tc>
        <w:tc>
          <w:tcPr>
            <w:tcW w:w="2863" w:type="dxa"/>
            <w:noWrap w:val="0"/>
            <w:vAlign w:val="center"/>
          </w:tcPr>
          <w:p>
            <w:pPr>
              <w:spacing w:line="540" w:lineRule="exact"/>
              <w:jc w:val="center"/>
              <w:rPr>
                <w:sz w:val="28"/>
                <w:szCs w:val="28"/>
              </w:rPr>
            </w:pPr>
            <w:r>
              <w:rPr>
                <w:sz w:val="28"/>
                <w:szCs w:val="28"/>
              </w:rPr>
              <w:t>0376-6565098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市气象局</w:t>
            </w:r>
          </w:p>
        </w:tc>
        <w:tc>
          <w:tcPr>
            <w:tcW w:w="3592" w:type="dxa"/>
            <w:noWrap w:val="0"/>
            <w:vAlign w:val="center"/>
          </w:tcPr>
          <w:p>
            <w:pPr>
              <w:spacing w:line="540" w:lineRule="exact"/>
              <w:jc w:val="center"/>
              <w:rPr>
                <w:sz w:val="28"/>
                <w:szCs w:val="28"/>
              </w:rPr>
            </w:pPr>
            <w:r>
              <w:rPr>
                <w:sz w:val="28"/>
                <w:szCs w:val="28"/>
              </w:rPr>
              <w:t>0376-6689207</w:t>
            </w:r>
          </w:p>
        </w:tc>
        <w:tc>
          <w:tcPr>
            <w:tcW w:w="3416" w:type="dxa"/>
            <w:noWrap w:val="0"/>
            <w:vAlign w:val="center"/>
          </w:tcPr>
          <w:p>
            <w:pPr>
              <w:spacing w:line="540" w:lineRule="exact"/>
              <w:jc w:val="center"/>
              <w:rPr>
                <w:sz w:val="28"/>
                <w:szCs w:val="28"/>
              </w:rPr>
            </w:pPr>
            <w:r>
              <w:rPr>
                <w:sz w:val="28"/>
                <w:szCs w:val="28"/>
              </w:rPr>
              <w:t>市财政局</w:t>
            </w:r>
          </w:p>
        </w:tc>
        <w:tc>
          <w:tcPr>
            <w:tcW w:w="2863" w:type="dxa"/>
            <w:noWrap w:val="0"/>
            <w:vAlign w:val="center"/>
          </w:tcPr>
          <w:p>
            <w:pPr>
              <w:spacing w:line="540" w:lineRule="exact"/>
              <w:jc w:val="center"/>
              <w:rPr>
                <w:sz w:val="28"/>
                <w:szCs w:val="28"/>
              </w:rPr>
            </w:pPr>
            <w:r>
              <w:rPr>
                <w:sz w:val="28"/>
                <w:szCs w:val="28"/>
              </w:rPr>
              <w:t>0376-6699078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市工业和信息化委</w:t>
            </w:r>
          </w:p>
        </w:tc>
        <w:tc>
          <w:tcPr>
            <w:tcW w:w="3592" w:type="dxa"/>
            <w:noWrap w:val="0"/>
            <w:vAlign w:val="center"/>
          </w:tcPr>
          <w:p>
            <w:pPr>
              <w:spacing w:line="540" w:lineRule="exact"/>
              <w:jc w:val="center"/>
              <w:rPr>
                <w:sz w:val="28"/>
                <w:szCs w:val="28"/>
              </w:rPr>
            </w:pPr>
            <w:r>
              <w:rPr>
                <w:sz w:val="28"/>
                <w:szCs w:val="28"/>
              </w:rPr>
              <w:t>0376-6366508</w:t>
            </w:r>
          </w:p>
        </w:tc>
        <w:tc>
          <w:tcPr>
            <w:tcW w:w="3416" w:type="dxa"/>
            <w:noWrap w:val="0"/>
            <w:vAlign w:val="center"/>
          </w:tcPr>
          <w:p>
            <w:pPr>
              <w:spacing w:line="540" w:lineRule="exact"/>
              <w:jc w:val="center"/>
              <w:rPr>
                <w:sz w:val="28"/>
                <w:szCs w:val="28"/>
              </w:rPr>
            </w:pPr>
            <w:r>
              <w:rPr>
                <w:sz w:val="28"/>
                <w:szCs w:val="28"/>
              </w:rPr>
              <w:t>市教育局</w:t>
            </w:r>
          </w:p>
        </w:tc>
        <w:tc>
          <w:tcPr>
            <w:tcW w:w="2863" w:type="dxa"/>
            <w:noWrap w:val="0"/>
            <w:vAlign w:val="center"/>
          </w:tcPr>
          <w:p>
            <w:pPr>
              <w:spacing w:line="540" w:lineRule="exact"/>
              <w:jc w:val="center"/>
              <w:rPr>
                <w:sz w:val="28"/>
                <w:szCs w:val="28"/>
              </w:rPr>
            </w:pPr>
            <w:r>
              <w:rPr>
                <w:sz w:val="28"/>
                <w:szCs w:val="28"/>
              </w:rPr>
              <w:t>0376-6266283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市工商局</w:t>
            </w:r>
          </w:p>
        </w:tc>
        <w:tc>
          <w:tcPr>
            <w:tcW w:w="3592" w:type="dxa"/>
            <w:noWrap w:val="0"/>
            <w:vAlign w:val="center"/>
          </w:tcPr>
          <w:p>
            <w:pPr>
              <w:spacing w:line="540" w:lineRule="exact"/>
              <w:jc w:val="center"/>
              <w:rPr>
                <w:sz w:val="28"/>
                <w:szCs w:val="28"/>
              </w:rPr>
            </w:pPr>
            <w:r>
              <w:rPr>
                <w:sz w:val="28"/>
                <w:szCs w:val="28"/>
              </w:rPr>
              <w:t>0376-6312018</w:t>
            </w:r>
          </w:p>
        </w:tc>
        <w:tc>
          <w:tcPr>
            <w:tcW w:w="3416" w:type="dxa"/>
            <w:noWrap w:val="0"/>
            <w:vAlign w:val="center"/>
          </w:tcPr>
          <w:p>
            <w:pPr>
              <w:spacing w:line="540" w:lineRule="exact"/>
              <w:jc w:val="center"/>
              <w:rPr>
                <w:sz w:val="28"/>
                <w:szCs w:val="28"/>
              </w:rPr>
            </w:pPr>
            <w:r>
              <w:rPr>
                <w:sz w:val="28"/>
                <w:szCs w:val="28"/>
              </w:rPr>
              <w:t>市农业局</w:t>
            </w:r>
          </w:p>
        </w:tc>
        <w:tc>
          <w:tcPr>
            <w:tcW w:w="2863" w:type="dxa"/>
            <w:noWrap w:val="0"/>
            <w:vAlign w:val="center"/>
          </w:tcPr>
          <w:p>
            <w:pPr>
              <w:spacing w:line="540" w:lineRule="exact"/>
              <w:jc w:val="center"/>
              <w:rPr>
                <w:sz w:val="28"/>
                <w:szCs w:val="28"/>
              </w:rPr>
            </w:pPr>
            <w:r>
              <w:rPr>
                <w:sz w:val="28"/>
                <w:szCs w:val="28"/>
              </w:rPr>
              <w:t>0376-6693777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市住房和城乡建设局</w:t>
            </w:r>
          </w:p>
        </w:tc>
        <w:tc>
          <w:tcPr>
            <w:tcW w:w="3592" w:type="dxa"/>
            <w:noWrap w:val="0"/>
            <w:vAlign w:val="center"/>
          </w:tcPr>
          <w:p>
            <w:pPr>
              <w:spacing w:line="540" w:lineRule="exact"/>
              <w:jc w:val="center"/>
              <w:rPr>
                <w:sz w:val="28"/>
                <w:szCs w:val="28"/>
              </w:rPr>
            </w:pPr>
            <w:r>
              <w:rPr>
                <w:sz w:val="28"/>
                <w:szCs w:val="28"/>
              </w:rPr>
              <w:t>0376-7639991</w:t>
            </w:r>
          </w:p>
        </w:tc>
        <w:tc>
          <w:tcPr>
            <w:tcW w:w="3416" w:type="dxa"/>
            <w:noWrap w:val="0"/>
            <w:vAlign w:val="center"/>
          </w:tcPr>
          <w:p>
            <w:pPr>
              <w:spacing w:line="540" w:lineRule="exact"/>
              <w:jc w:val="center"/>
              <w:rPr>
                <w:sz w:val="28"/>
                <w:szCs w:val="28"/>
              </w:rPr>
            </w:pPr>
            <w:r>
              <w:rPr>
                <w:sz w:val="28"/>
                <w:szCs w:val="28"/>
              </w:rPr>
              <w:t>市文化广电新闻出版局</w:t>
            </w:r>
          </w:p>
        </w:tc>
        <w:tc>
          <w:tcPr>
            <w:tcW w:w="2863" w:type="dxa"/>
            <w:noWrap w:val="0"/>
            <w:vAlign w:val="center"/>
          </w:tcPr>
          <w:p>
            <w:pPr>
              <w:spacing w:line="540" w:lineRule="exact"/>
              <w:jc w:val="center"/>
              <w:rPr>
                <w:sz w:val="28"/>
                <w:szCs w:val="28"/>
              </w:rPr>
            </w:pPr>
            <w:r>
              <w:rPr>
                <w:sz w:val="28"/>
                <w:szCs w:val="28"/>
              </w:rPr>
              <w:t>0376-6224983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市城市管理局</w:t>
            </w:r>
          </w:p>
        </w:tc>
        <w:tc>
          <w:tcPr>
            <w:tcW w:w="3592" w:type="dxa"/>
            <w:noWrap w:val="0"/>
            <w:vAlign w:val="center"/>
          </w:tcPr>
          <w:p>
            <w:pPr>
              <w:spacing w:line="540" w:lineRule="exact"/>
              <w:jc w:val="center"/>
              <w:rPr>
                <w:sz w:val="28"/>
                <w:szCs w:val="28"/>
              </w:rPr>
            </w:pPr>
            <w:r>
              <w:rPr>
                <w:sz w:val="28"/>
                <w:szCs w:val="28"/>
              </w:rPr>
              <w:t>0376-6381116</w:t>
            </w:r>
          </w:p>
        </w:tc>
        <w:tc>
          <w:tcPr>
            <w:tcW w:w="3416" w:type="dxa"/>
            <w:noWrap w:val="0"/>
            <w:vAlign w:val="center"/>
          </w:tcPr>
          <w:p>
            <w:pPr>
              <w:spacing w:line="540" w:lineRule="exact"/>
              <w:jc w:val="center"/>
              <w:rPr>
                <w:sz w:val="28"/>
                <w:szCs w:val="28"/>
              </w:rPr>
            </w:pPr>
            <w:r>
              <w:rPr>
                <w:sz w:val="28"/>
                <w:szCs w:val="28"/>
              </w:rPr>
              <w:t>市机关事务管理局</w:t>
            </w:r>
          </w:p>
        </w:tc>
        <w:tc>
          <w:tcPr>
            <w:tcW w:w="2863" w:type="dxa"/>
            <w:noWrap w:val="0"/>
            <w:vAlign w:val="center"/>
          </w:tcPr>
          <w:p>
            <w:pPr>
              <w:spacing w:line="540" w:lineRule="exact"/>
              <w:jc w:val="center"/>
              <w:rPr>
                <w:sz w:val="28"/>
                <w:szCs w:val="28"/>
              </w:rPr>
            </w:pPr>
            <w:r>
              <w:rPr>
                <w:sz w:val="28"/>
                <w:szCs w:val="28"/>
              </w:rPr>
              <w:t>0376-6366918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spacing w:line="540" w:lineRule="exact"/>
              <w:jc w:val="center"/>
              <w:rPr>
                <w:sz w:val="28"/>
                <w:szCs w:val="28"/>
              </w:rPr>
            </w:pPr>
          </w:p>
        </w:tc>
        <w:tc>
          <w:tcPr>
            <w:tcW w:w="3161" w:type="dxa"/>
            <w:noWrap w:val="0"/>
            <w:vAlign w:val="center"/>
          </w:tcPr>
          <w:p>
            <w:pPr>
              <w:spacing w:line="540" w:lineRule="exact"/>
              <w:jc w:val="center"/>
              <w:rPr>
                <w:sz w:val="28"/>
                <w:szCs w:val="28"/>
              </w:rPr>
            </w:pPr>
            <w:r>
              <w:rPr>
                <w:sz w:val="28"/>
                <w:szCs w:val="28"/>
              </w:rPr>
              <w:t>市交通运输局</w:t>
            </w:r>
          </w:p>
        </w:tc>
        <w:tc>
          <w:tcPr>
            <w:tcW w:w="3592" w:type="dxa"/>
            <w:noWrap w:val="0"/>
            <w:vAlign w:val="center"/>
          </w:tcPr>
          <w:p>
            <w:pPr>
              <w:spacing w:line="540" w:lineRule="exact"/>
              <w:jc w:val="center"/>
              <w:rPr>
                <w:sz w:val="28"/>
                <w:szCs w:val="28"/>
              </w:rPr>
            </w:pPr>
            <w:r>
              <w:rPr>
                <w:sz w:val="28"/>
                <w:szCs w:val="28"/>
              </w:rPr>
              <w:t>0376-6261299</w:t>
            </w:r>
          </w:p>
        </w:tc>
        <w:tc>
          <w:tcPr>
            <w:tcW w:w="3416" w:type="dxa"/>
            <w:noWrap w:val="0"/>
            <w:vAlign w:val="center"/>
          </w:tcPr>
          <w:p>
            <w:pPr>
              <w:spacing w:line="540" w:lineRule="exact"/>
              <w:jc w:val="center"/>
              <w:rPr>
                <w:sz w:val="28"/>
                <w:szCs w:val="28"/>
              </w:rPr>
            </w:pPr>
            <w:r>
              <w:rPr>
                <w:sz w:val="28"/>
                <w:szCs w:val="28"/>
              </w:rPr>
              <w:t>国网信阳供电公司</w:t>
            </w:r>
          </w:p>
        </w:tc>
        <w:tc>
          <w:tcPr>
            <w:tcW w:w="2863" w:type="dxa"/>
            <w:noWrap w:val="0"/>
            <w:vAlign w:val="center"/>
          </w:tcPr>
          <w:p>
            <w:pPr>
              <w:spacing w:line="540" w:lineRule="exact"/>
              <w:jc w:val="center"/>
              <w:rPr>
                <w:sz w:val="28"/>
                <w:szCs w:val="28"/>
              </w:rPr>
            </w:pPr>
            <w:r>
              <w:rPr>
                <w:sz w:val="28"/>
                <w:szCs w:val="28"/>
              </w:rPr>
              <w:t>0376-6217226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restart"/>
            <w:noWrap w:val="0"/>
            <w:vAlign w:val="center"/>
          </w:tcPr>
          <w:p>
            <w:pPr>
              <w:jc w:val="center"/>
              <w:rPr>
                <w:sz w:val="28"/>
                <w:szCs w:val="28"/>
              </w:rPr>
            </w:pPr>
            <w:r>
              <w:rPr>
                <w:sz w:val="28"/>
                <w:szCs w:val="28"/>
              </w:rPr>
              <w:t>各县、区政府及管理区、开发区</w:t>
            </w:r>
          </w:p>
        </w:tc>
        <w:tc>
          <w:tcPr>
            <w:tcW w:w="3161" w:type="dxa"/>
            <w:noWrap w:val="0"/>
            <w:vAlign w:val="center"/>
          </w:tcPr>
          <w:p>
            <w:pPr>
              <w:jc w:val="center"/>
              <w:rPr>
                <w:sz w:val="28"/>
                <w:szCs w:val="28"/>
              </w:rPr>
            </w:pPr>
            <w:r>
              <w:rPr>
                <w:sz w:val="28"/>
                <w:szCs w:val="28"/>
              </w:rPr>
              <w:t>浉河区</w:t>
            </w:r>
          </w:p>
        </w:tc>
        <w:tc>
          <w:tcPr>
            <w:tcW w:w="3592" w:type="dxa"/>
            <w:noWrap w:val="0"/>
            <w:vAlign w:val="center"/>
          </w:tcPr>
          <w:p>
            <w:pPr>
              <w:jc w:val="center"/>
              <w:rPr>
                <w:sz w:val="28"/>
                <w:szCs w:val="28"/>
              </w:rPr>
            </w:pPr>
            <w:r>
              <w:rPr>
                <w:sz w:val="28"/>
                <w:szCs w:val="28"/>
              </w:rPr>
              <w:t>0376-6604760</w:t>
            </w:r>
          </w:p>
        </w:tc>
        <w:tc>
          <w:tcPr>
            <w:tcW w:w="3416" w:type="dxa"/>
            <w:noWrap w:val="0"/>
            <w:vAlign w:val="center"/>
          </w:tcPr>
          <w:p>
            <w:pPr>
              <w:jc w:val="center"/>
              <w:rPr>
                <w:sz w:val="28"/>
                <w:szCs w:val="28"/>
              </w:rPr>
            </w:pPr>
            <w:r>
              <w:rPr>
                <w:sz w:val="28"/>
                <w:szCs w:val="28"/>
              </w:rPr>
              <w:t>固始县</w:t>
            </w:r>
          </w:p>
        </w:tc>
        <w:tc>
          <w:tcPr>
            <w:tcW w:w="2863" w:type="dxa"/>
            <w:noWrap w:val="0"/>
            <w:vAlign w:val="center"/>
          </w:tcPr>
          <w:p>
            <w:pPr>
              <w:jc w:val="center"/>
              <w:rPr>
                <w:sz w:val="28"/>
                <w:szCs w:val="28"/>
              </w:rPr>
            </w:pPr>
            <w:r>
              <w:rPr>
                <w:sz w:val="28"/>
                <w:szCs w:val="28"/>
              </w:rPr>
              <w:t>0376-4667047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平桥区</w:t>
            </w:r>
          </w:p>
        </w:tc>
        <w:tc>
          <w:tcPr>
            <w:tcW w:w="3592" w:type="dxa"/>
            <w:noWrap w:val="0"/>
            <w:vAlign w:val="center"/>
          </w:tcPr>
          <w:p>
            <w:pPr>
              <w:jc w:val="center"/>
              <w:rPr>
                <w:sz w:val="28"/>
                <w:szCs w:val="28"/>
              </w:rPr>
            </w:pPr>
            <w:r>
              <w:rPr>
                <w:sz w:val="28"/>
                <w:szCs w:val="28"/>
              </w:rPr>
              <w:t>0376-3782836</w:t>
            </w:r>
          </w:p>
        </w:tc>
        <w:tc>
          <w:tcPr>
            <w:tcW w:w="3416" w:type="dxa"/>
            <w:noWrap w:val="0"/>
            <w:vAlign w:val="center"/>
          </w:tcPr>
          <w:p>
            <w:pPr>
              <w:jc w:val="center"/>
              <w:rPr>
                <w:sz w:val="28"/>
                <w:szCs w:val="28"/>
              </w:rPr>
            </w:pPr>
            <w:r>
              <w:rPr>
                <w:sz w:val="28"/>
                <w:szCs w:val="28"/>
              </w:rPr>
              <w:t>羊山新区</w:t>
            </w:r>
          </w:p>
        </w:tc>
        <w:tc>
          <w:tcPr>
            <w:tcW w:w="2863" w:type="dxa"/>
            <w:noWrap w:val="0"/>
            <w:vAlign w:val="center"/>
          </w:tcPr>
          <w:p>
            <w:pPr>
              <w:jc w:val="center"/>
              <w:rPr>
                <w:sz w:val="28"/>
                <w:szCs w:val="28"/>
              </w:rPr>
            </w:pPr>
            <w:r>
              <w:rPr>
                <w:sz w:val="28"/>
                <w:szCs w:val="28"/>
              </w:rPr>
              <w:t>0376-6651005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罗山县</w:t>
            </w:r>
          </w:p>
        </w:tc>
        <w:tc>
          <w:tcPr>
            <w:tcW w:w="3592" w:type="dxa"/>
            <w:noWrap w:val="0"/>
            <w:vAlign w:val="center"/>
          </w:tcPr>
          <w:p>
            <w:pPr>
              <w:jc w:val="center"/>
              <w:rPr>
                <w:sz w:val="28"/>
                <w:szCs w:val="28"/>
              </w:rPr>
            </w:pPr>
            <w:r>
              <w:rPr>
                <w:sz w:val="28"/>
                <w:szCs w:val="28"/>
              </w:rPr>
              <w:t>0376-2178559</w:t>
            </w:r>
          </w:p>
        </w:tc>
        <w:tc>
          <w:tcPr>
            <w:tcW w:w="3416" w:type="dxa"/>
            <w:noWrap w:val="0"/>
            <w:vAlign w:val="center"/>
          </w:tcPr>
          <w:p>
            <w:pPr>
              <w:jc w:val="center"/>
              <w:rPr>
                <w:sz w:val="28"/>
                <w:szCs w:val="28"/>
              </w:rPr>
            </w:pPr>
            <w:r>
              <w:rPr>
                <w:sz w:val="28"/>
                <w:szCs w:val="28"/>
              </w:rPr>
              <w:t>高新区</w:t>
            </w:r>
          </w:p>
        </w:tc>
        <w:tc>
          <w:tcPr>
            <w:tcW w:w="2863" w:type="dxa"/>
            <w:noWrap w:val="0"/>
            <w:vAlign w:val="center"/>
          </w:tcPr>
          <w:p>
            <w:pPr>
              <w:jc w:val="center"/>
              <w:rPr>
                <w:sz w:val="28"/>
                <w:szCs w:val="28"/>
              </w:rPr>
            </w:pPr>
            <w:r>
              <w:rPr>
                <w:sz w:val="28"/>
                <w:szCs w:val="28"/>
              </w:rPr>
              <w:t>0376-3796688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光山县</w:t>
            </w:r>
          </w:p>
        </w:tc>
        <w:tc>
          <w:tcPr>
            <w:tcW w:w="3592" w:type="dxa"/>
            <w:noWrap w:val="0"/>
            <w:vAlign w:val="center"/>
          </w:tcPr>
          <w:p>
            <w:pPr>
              <w:jc w:val="center"/>
              <w:rPr>
                <w:sz w:val="28"/>
                <w:szCs w:val="28"/>
              </w:rPr>
            </w:pPr>
            <w:r>
              <w:rPr>
                <w:sz w:val="28"/>
                <w:szCs w:val="28"/>
              </w:rPr>
              <w:t>0376-8858266</w:t>
            </w:r>
          </w:p>
        </w:tc>
        <w:tc>
          <w:tcPr>
            <w:tcW w:w="3416" w:type="dxa"/>
            <w:noWrap w:val="0"/>
            <w:vAlign w:val="center"/>
          </w:tcPr>
          <w:p>
            <w:pPr>
              <w:jc w:val="center"/>
              <w:rPr>
                <w:sz w:val="28"/>
                <w:szCs w:val="28"/>
              </w:rPr>
            </w:pPr>
            <w:r>
              <w:rPr>
                <w:sz w:val="28"/>
                <w:szCs w:val="28"/>
              </w:rPr>
              <w:t>上天梯</w:t>
            </w:r>
          </w:p>
        </w:tc>
        <w:tc>
          <w:tcPr>
            <w:tcW w:w="2863" w:type="dxa"/>
            <w:noWrap w:val="0"/>
            <w:vAlign w:val="center"/>
          </w:tcPr>
          <w:p>
            <w:pPr>
              <w:jc w:val="center"/>
              <w:rPr>
                <w:sz w:val="28"/>
                <w:szCs w:val="28"/>
              </w:rPr>
            </w:pPr>
            <w:r>
              <w:rPr>
                <w:sz w:val="28"/>
                <w:szCs w:val="28"/>
              </w:rPr>
              <w:t>0376-3886023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新县</w:t>
            </w:r>
          </w:p>
        </w:tc>
        <w:tc>
          <w:tcPr>
            <w:tcW w:w="3592" w:type="dxa"/>
            <w:noWrap w:val="0"/>
            <w:vAlign w:val="center"/>
          </w:tcPr>
          <w:p>
            <w:pPr>
              <w:jc w:val="center"/>
              <w:rPr>
                <w:sz w:val="28"/>
                <w:szCs w:val="28"/>
              </w:rPr>
            </w:pPr>
            <w:r>
              <w:rPr>
                <w:sz w:val="28"/>
                <w:szCs w:val="28"/>
              </w:rPr>
              <w:t>0376-2987102</w:t>
            </w:r>
          </w:p>
        </w:tc>
        <w:tc>
          <w:tcPr>
            <w:tcW w:w="3416" w:type="dxa"/>
            <w:noWrap w:val="0"/>
            <w:vAlign w:val="center"/>
          </w:tcPr>
          <w:p>
            <w:pPr>
              <w:jc w:val="center"/>
              <w:rPr>
                <w:sz w:val="28"/>
                <w:szCs w:val="28"/>
              </w:rPr>
            </w:pPr>
            <w:r>
              <w:rPr>
                <w:sz w:val="28"/>
                <w:szCs w:val="28"/>
              </w:rPr>
              <w:t>南湾湖</w:t>
            </w:r>
          </w:p>
        </w:tc>
        <w:tc>
          <w:tcPr>
            <w:tcW w:w="2863" w:type="dxa"/>
            <w:noWrap w:val="0"/>
            <w:vAlign w:val="center"/>
          </w:tcPr>
          <w:p>
            <w:pPr>
              <w:jc w:val="center"/>
              <w:rPr>
                <w:sz w:val="28"/>
                <w:szCs w:val="28"/>
              </w:rPr>
            </w:pPr>
            <w:r>
              <w:rPr>
                <w:sz w:val="28"/>
                <w:szCs w:val="28"/>
              </w:rPr>
              <w:t>0376-6373637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商城县</w:t>
            </w:r>
          </w:p>
        </w:tc>
        <w:tc>
          <w:tcPr>
            <w:tcW w:w="3592" w:type="dxa"/>
            <w:noWrap w:val="0"/>
            <w:vAlign w:val="center"/>
          </w:tcPr>
          <w:p>
            <w:pPr>
              <w:jc w:val="center"/>
              <w:rPr>
                <w:sz w:val="28"/>
                <w:szCs w:val="28"/>
              </w:rPr>
            </w:pPr>
            <w:r>
              <w:rPr>
                <w:sz w:val="28"/>
                <w:szCs w:val="28"/>
              </w:rPr>
              <w:t>0376-7921651</w:t>
            </w:r>
          </w:p>
        </w:tc>
        <w:tc>
          <w:tcPr>
            <w:tcW w:w="3416" w:type="dxa"/>
            <w:noWrap w:val="0"/>
            <w:vAlign w:val="center"/>
          </w:tcPr>
          <w:p>
            <w:pPr>
              <w:jc w:val="center"/>
              <w:rPr>
                <w:sz w:val="28"/>
                <w:szCs w:val="28"/>
              </w:rPr>
            </w:pPr>
            <w:r>
              <w:rPr>
                <w:sz w:val="28"/>
                <w:szCs w:val="28"/>
              </w:rPr>
              <w:t>鸡公山</w:t>
            </w:r>
          </w:p>
        </w:tc>
        <w:tc>
          <w:tcPr>
            <w:tcW w:w="2863" w:type="dxa"/>
            <w:noWrap w:val="0"/>
            <w:vAlign w:val="center"/>
          </w:tcPr>
          <w:p>
            <w:pPr>
              <w:jc w:val="center"/>
              <w:rPr>
                <w:sz w:val="28"/>
                <w:szCs w:val="28"/>
              </w:rPr>
            </w:pPr>
            <w:r>
              <w:rPr>
                <w:sz w:val="28"/>
                <w:szCs w:val="28"/>
              </w:rPr>
              <w:t>0376-6992007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潢川县</w:t>
            </w:r>
          </w:p>
        </w:tc>
        <w:tc>
          <w:tcPr>
            <w:tcW w:w="3592" w:type="dxa"/>
            <w:noWrap w:val="0"/>
            <w:vAlign w:val="center"/>
          </w:tcPr>
          <w:p>
            <w:pPr>
              <w:jc w:val="center"/>
              <w:rPr>
                <w:sz w:val="28"/>
                <w:szCs w:val="28"/>
              </w:rPr>
            </w:pPr>
            <w:r>
              <w:rPr>
                <w:sz w:val="28"/>
                <w:szCs w:val="28"/>
              </w:rPr>
              <w:t>0376-3931650</w:t>
            </w:r>
          </w:p>
        </w:tc>
        <w:tc>
          <w:tcPr>
            <w:tcW w:w="3416" w:type="dxa"/>
            <w:noWrap w:val="0"/>
            <w:vAlign w:val="center"/>
          </w:tcPr>
          <w:p>
            <w:pPr>
              <w:jc w:val="center"/>
              <w:rPr>
                <w:sz w:val="28"/>
                <w:szCs w:val="28"/>
              </w:rPr>
            </w:pPr>
            <w:r>
              <w:rPr>
                <w:sz w:val="28"/>
                <w:szCs w:val="28"/>
              </w:rPr>
              <w:t>潢川经济开发区</w:t>
            </w:r>
          </w:p>
        </w:tc>
        <w:tc>
          <w:tcPr>
            <w:tcW w:w="2863" w:type="dxa"/>
            <w:noWrap w:val="0"/>
            <w:vAlign w:val="center"/>
          </w:tcPr>
          <w:p>
            <w:pPr>
              <w:jc w:val="center"/>
              <w:rPr>
                <w:sz w:val="28"/>
                <w:szCs w:val="28"/>
              </w:rPr>
            </w:pPr>
            <w:r>
              <w:rPr>
                <w:sz w:val="28"/>
                <w:szCs w:val="28"/>
              </w:rPr>
              <w:t>0376-3111288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淮滨县</w:t>
            </w:r>
          </w:p>
        </w:tc>
        <w:tc>
          <w:tcPr>
            <w:tcW w:w="3592" w:type="dxa"/>
            <w:noWrap w:val="0"/>
            <w:vAlign w:val="center"/>
          </w:tcPr>
          <w:p>
            <w:pPr>
              <w:jc w:val="center"/>
              <w:rPr>
                <w:sz w:val="28"/>
                <w:szCs w:val="28"/>
              </w:rPr>
            </w:pPr>
            <w:r>
              <w:rPr>
                <w:sz w:val="28"/>
                <w:szCs w:val="28"/>
              </w:rPr>
              <w:t>0376-7761063</w:t>
            </w:r>
          </w:p>
        </w:tc>
        <w:tc>
          <w:tcPr>
            <w:tcW w:w="3416" w:type="dxa"/>
            <w:noWrap w:val="0"/>
            <w:vAlign w:val="center"/>
          </w:tcPr>
          <w:p>
            <w:pPr>
              <w:jc w:val="center"/>
              <w:rPr>
                <w:sz w:val="28"/>
                <w:szCs w:val="28"/>
              </w:rPr>
            </w:pPr>
            <w:r>
              <w:rPr>
                <w:sz w:val="28"/>
                <w:szCs w:val="28"/>
              </w:rPr>
              <w:t>明港镇</w:t>
            </w:r>
          </w:p>
        </w:tc>
        <w:tc>
          <w:tcPr>
            <w:tcW w:w="2863" w:type="dxa"/>
            <w:noWrap w:val="0"/>
            <w:vAlign w:val="center"/>
          </w:tcPr>
          <w:p>
            <w:pPr>
              <w:jc w:val="center"/>
              <w:rPr>
                <w:sz w:val="28"/>
                <w:szCs w:val="28"/>
              </w:rPr>
            </w:pPr>
            <w:r>
              <w:rPr>
                <w:sz w:val="28"/>
                <w:szCs w:val="28"/>
              </w:rPr>
              <w:t>0376-8661991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2" w:type="dxa"/>
            <w:vMerge w:val="continue"/>
            <w:noWrap w:val="0"/>
            <w:vAlign w:val="center"/>
          </w:tcPr>
          <w:p>
            <w:pPr>
              <w:jc w:val="center"/>
              <w:rPr>
                <w:sz w:val="28"/>
                <w:szCs w:val="28"/>
              </w:rPr>
            </w:pPr>
          </w:p>
        </w:tc>
        <w:tc>
          <w:tcPr>
            <w:tcW w:w="3161" w:type="dxa"/>
            <w:noWrap w:val="0"/>
            <w:vAlign w:val="center"/>
          </w:tcPr>
          <w:p>
            <w:pPr>
              <w:jc w:val="center"/>
              <w:rPr>
                <w:sz w:val="28"/>
                <w:szCs w:val="28"/>
              </w:rPr>
            </w:pPr>
            <w:r>
              <w:rPr>
                <w:sz w:val="28"/>
                <w:szCs w:val="28"/>
              </w:rPr>
              <w:t>息县</w:t>
            </w:r>
          </w:p>
        </w:tc>
        <w:tc>
          <w:tcPr>
            <w:tcW w:w="3592" w:type="dxa"/>
            <w:noWrap w:val="0"/>
            <w:vAlign w:val="center"/>
          </w:tcPr>
          <w:p>
            <w:pPr>
              <w:jc w:val="center"/>
              <w:rPr>
                <w:sz w:val="28"/>
                <w:szCs w:val="28"/>
              </w:rPr>
            </w:pPr>
            <w:r>
              <w:rPr>
                <w:sz w:val="28"/>
                <w:szCs w:val="28"/>
              </w:rPr>
              <w:t>0376-5951071</w:t>
            </w:r>
          </w:p>
        </w:tc>
        <w:tc>
          <w:tcPr>
            <w:tcW w:w="3416" w:type="dxa"/>
            <w:noWrap w:val="0"/>
            <w:vAlign w:val="center"/>
          </w:tcPr>
          <w:p>
            <w:pPr>
              <w:jc w:val="center"/>
              <w:rPr>
                <w:sz w:val="28"/>
                <w:szCs w:val="28"/>
              </w:rPr>
            </w:pPr>
          </w:p>
        </w:tc>
        <w:tc>
          <w:tcPr>
            <w:tcW w:w="2863" w:type="dxa"/>
            <w:noWrap w:val="0"/>
            <w:vAlign w:val="center"/>
          </w:tcPr>
          <w:p>
            <w:pPr>
              <w:jc w:val="center"/>
              <w:rPr>
                <w:sz w:val="28"/>
                <w:szCs w:val="28"/>
              </w:rPr>
            </w:pPr>
          </w:p>
        </w:tc>
      </w:tr>
    </w:tbl>
    <w:p>
      <w:pPr>
        <w:jc w:val="left"/>
        <w:rPr>
          <w:rFonts w:eastAsia="黑体"/>
        </w:rPr>
      </w:pPr>
    </w:p>
    <w:p>
      <w:pPr>
        <w:jc w:val="left"/>
        <w:rPr>
          <w:rFonts w:eastAsia="黑体"/>
        </w:rPr>
      </w:pPr>
      <w:r>
        <w:rPr>
          <w:rFonts w:eastAsia="黑体"/>
        </w:rPr>
        <w:br w:type="page"/>
      </w:r>
      <w:r>
        <w:rPr>
          <w:rFonts w:eastAsia="黑体"/>
        </w:rPr>
        <w:t>附件3</w:t>
      </w:r>
    </w:p>
    <w:p>
      <w:pPr>
        <w:spacing w:after="156" w:afterLines="50" w:line="700" w:lineRule="exact"/>
        <w:jc w:val="center"/>
        <w:rPr>
          <w:rFonts w:eastAsia="方正小标宋_GBK"/>
          <w:bCs/>
          <w:sz w:val="44"/>
          <w:szCs w:val="44"/>
        </w:rPr>
      </w:pPr>
      <w:bookmarkStart w:id="1" w:name="_Hlk528831433"/>
      <w:r>
        <w:rPr>
          <w:rFonts w:eastAsia="方正小标宋_GBK"/>
          <w:bCs/>
          <w:sz w:val="44"/>
          <w:szCs w:val="44"/>
        </w:rPr>
        <w:t>信阳市重污染天气应急响应行业减排指导原则</w:t>
      </w:r>
    </w:p>
    <w:bookmarkEnd w:id="1"/>
    <w:tbl>
      <w:tblPr>
        <w:tblStyle w:val="4"/>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95"/>
        <w:gridCol w:w="3420"/>
        <w:gridCol w:w="3795"/>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778" w:type="dxa"/>
            <w:noWrap w:val="0"/>
            <w:vAlign w:val="center"/>
          </w:tcPr>
          <w:p>
            <w:pPr>
              <w:spacing w:line="440" w:lineRule="exact"/>
              <w:jc w:val="center"/>
              <w:rPr>
                <w:rFonts w:eastAsia="黑体"/>
                <w:bCs/>
                <w:sz w:val="28"/>
                <w:szCs w:val="28"/>
              </w:rPr>
            </w:pPr>
            <w:r>
              <w:rPr>
                <w:rFonts w:eastAsia="黑体"/>
                <w:bCs/>
                <w:sz w:val="28"/>
                <w:szCs w:val="28"/>
              </w:rPr>
              <w:t>行业</w:t>
            </w:r>
          </w:p>
        </w:tc>
        <w:tc>
          <w:tcPr>
            <w:tcW w:w="1695" w:type="dxa"/>
            <w:noWrap w:val="0"/>
            <w:vAlign w:val="center"/>
          </w:tcPr>
          <w:p>
            <w:pPr>
              <w:spacing w:line="440" w:lineRule="exact"/>
              <w:jc w:val="center"/>
              <w:rPr>
                <w:rFonts w:eastAsia="黑体"/>
                <w:bCs/>
                <w:sz w:val="28"/>
                <w:szCs w:val="28"/>
              </w:rPr>
            </w:pPr>
            <w:r>
              <w:rPr>
                <w:rFonts w:eastAsia="黑体"/>
                <w:bCs/>
                <w:sz w:val="28"/>
                <w:szCs w:val="28"/>
              </w:rPr>
              <w:t>分类</w:t>
            </w:r>
          </w:p>
        </w:tc>
        <w:tc>
          <w:tcPr>
            <w:tcW w:w="3420" w:type="dxa"/>
            <w:noWrap w:val="0"/>
            <w:vAlign w:val="center"/>
          </w:tcPr>
          <w:p>
            <w:pPr>
              <w:spacing w:line="440" w:lineRule="exact"/>
              <w:jc w:val="center"/>
              <w:rPr>
                <w:rFonts w:eastAsia="黑体"/>
                <w:bCs/>
                <w:sz w:val="28"/>
                <w:szCs w:val="28"/>
              </w:rPr>
            </w:pPr>
            <w:r>
              <w:rPr>
                <w:rFonts w:eastAsia="黑体"/>
                <w:bCs/>
                <w:sz w:val="28"/>
                <w:szCs w:val="28"/>
              </w:rPr>
              <w:t>红色预警</w:t>
            </w:r>
          </w:p>
        </w:tc>
        <w:tc>
          <w:tcPr>
            <w:tcW w:w="3795" w:type="dxa"/>
            <w:noWrap w:val="0"/>
            <w:vAlign w:val="center"/>
          </w:tcPr>
          <w:p>
            <w:pPr>
              <w:spacing w:line="440" w:lineRule="exact"/>
              <w:jc w:val="center"/>
              <w:rPr>
                <w:rFonts w:eastAsia="黑体"/>
                <w:bCs/>
                <w:sz w:val="28"/>
                <w:szCs w:val="28"/>
              </w:rPr>
            </w:pPr>
            <w:r>
              <w:rPr>
                <w:rFonts w:eastAsia="黑体"/>
                <w:bCs/>
                <w:sz w:val="28"/>
                <w:szCs w:val="28"/>
              </w:rPr>
              <w:t>橙色预警</w:t>
            </w:r>
          </w:p>
        </w:tc>
        <w:tc>
          <w:tcPr>
            <w:tcW w:w="3486" w:type="dxa"/>
            <w:noWrap w:val="0"/>
            <w:vAlign w:val="center"/>
          </w:tcPr>
          <w:p>
            <w:pPr>
              <w:spacing w:line="440" w:lineRule="exact"/>
              <w:jc w:val="center"/>
              <w:rPr>
                <w:rFonts w:eastAsia="黑体"/>
                <w:bCs/>
                <w:sz w:val="28"/>
                <w:szCs w:val="28"/>
              </w:rPr>
            </w:pPr>
            <w:r>
              <w:rPr>
                <w:rFonts w:eastAsia="黑体"/>
                <w:bCs/>
                <w:sz w:val="28"/>
                <w:szCs w:val="28"/>
              </w:rPr>
              <w:t>黄色预警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电 厂</w:t>
            </w:r>
          </w:p>
        </w:tc>
        <w:tc>
          <w:tcPr>
            <w:tcW w:w="1695" w:type="dxa"/>
            <w:noWrap w:val="0"/>
            <w:vAlign w:val="center"/>
          </w:tcPr>
          <w:p>
            <w:pPr>
              <w:spacing w:line="440" w:lineRule="exact"/>
              <w:jc w:val="center"/>
              <w:rPr>
                <w:sz w:val="28"/>
                <w:szCs w:val="28"/>
              </w:rPr>
            </w:pPr>
          </w:p>
        </w:tc>
        <w:tc>
          <w:tcPr>
            <w:tcW w:w="3420" w:type="dxa"/>
            <w:noWrap w:val="0"/>
            <w:vAlign w:val="center"/>
          </w:tcPr>
          <w:p>
            <w:pPr>
              <w:spacing w:line="440" w:lineRule="exact"/>
              <w:jc w:val="center"/>
              <w:rPr>
                <w:sz w:val="28"/>
                <w:szCs w:val="28"/>
              </w:rPr>
            </w:pPr>
            <w:r>
              <w:rPr>
                <w:sz w:val="28"/>
                <w:szCs w:val="28"/>
              </w:rPr>
              <w:t>严格执行超低排放，错峰运输</w:t>
            </w:r>
          </w:p>
        </w:tc>
        <w:tc>
          <w:tcPr>
            <w:tcW w:w="3795" w:type="dxa"/>
            <w:noWrap w:val="0"/>
            <w:vAlign w:val="center"/>
          </w:tcPr>
          <w:p>
            <w:pPr>
              <w:spacing w:line="440" w:lineRule="exact"/>
              <w:jc w:val="center"/>
              <w:rPr>
                <w:sz w:val="28"/>
                <w:szCs w:val="28"/>
              </w:rPr>
            </w:pPr>
            <w:r>
              <w:rPr>
                <w:sz w:val="28"/>
                <w:szCs w:val="28"/>
              </w:rPr>
              <w:t>严格执行超低排放，错峰运输</w:t>
            </w:r>
          </w:p>
        </w:tc>
        <w:tc>
          <w:tcPr>
            <w:tcW w:w="3486" w:type="dxa"/>
            <w:noWrap w:val="0"/>
            <w:vAlign w:val="center"/>
          </w:tcPr>
          <w:p>
            <w:pPr>
              <w:spacing w:line="440" w:lineRule="exact"/>
              <w:jc w:val="center"/>
              <w:rPr>
                <w:sz w:val="28"/>
                <w:szCs w:val="28"/>
              </w:rPr>
            </w:pPr>
            <w:r>
              <w:rPr>
                <w:sz w:val="28"/>
                <w:szCs w:val="28"/>
              </w:rPr>
              <w:t>严格执行超低排放，错峰运输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黑色金属治炼和压延加工业</w:t>
            </w:r>
          </w:p>
        </w:tc>
        <w:tc>
          <w:tcPr>
            <w:tcW w:w="1695" w:type="dxa"/>
            <w:noWrap w:val="0"/>
            <w:vAlign w:val="center"/>
          </w:tcPr>
          <w:p>
            <w:pPr>
              <w:spacing w:line="440" w:lineRule="exact"/>
              <w:jc w:val="center"/>
              <w:rPr>
                <w:sz w:val="28"/>
                <w:szCs w:val="28"/>
              </w:rPr>
            </w:pPr>
            <w:r>
              <w:rPr>
                <w:sz w:val="28"/>
                <w:szCs w:val="28"/>
              </w:rPr>
              <w:t>炼铁</w:t>
            </w:r>
          </w:p>
        </w:tc>
        <w:tc>
          <w:tcPr>
            <w:tcW w:w="3420" w:type="dxa"/>
            <w:noWrap w:val="0"/>
            <w:vAlign w:val="center"/>
          </w:tcPr>
          <w:p>
            <w:pPr>
              <w:spacing w:line="440" w:lineRule="exact"/>
              <w:jc w:val="center"/>
              <w:rPr>
                <w:sz w:val="28"/>
                <w:szCs w:val="28"/>
              </w:rPr>
            </w:pPr>
            <w:r>
              <w:rPr>
                <w:sz w:val="28"/>
                <w:szCs w:val="28"/>
              </w:rPr>
              <w:t>限产30%，限产计量以高炉生产能力计，配套球团、烧结等设备同步限产</w:t>
            </w:r>
          </w:p>
        </w:tc>
        <w:tc>
          <w:tcPr>
            <w:tcW w:w="3795" w:type="dxa"/>
            <w:noWrap w:val="0"/>
            <w:vAlign w:val="center"/>
          </w:tcPr>
          <w:p>
            <w:pPr>
              <w:spacing w:line="440" w:lineRule="exact"/>
              <w:jc w:val="center"/>
              <w:rPr>
                <w:sz w:val="28"/>
                <w:szCs w:val="28"/>
              </w:rPr>
            </w:pPr>
            <w:r>
              <w:rPr>
                <w:sz w:val="28"/>
                <w:szCs w:val="28"/>
              </w:rPr>
              <w:t>限产20%，限产计量以高炉生产能力计，配套球团、烧结等设备同步限产</w:t>
            </w:r>
          </w:p>
        </w:tc>
        <w:tc>
          <w:tcPr>
            <w:tcW w:w="3486" w:type="dxa"/>
            <w:noWrap w:val="0"/>
            <w:vAlign w:val="center"/>
          </w:tcPr>
          <w:p>
            <w:pPr>
              <w:spacing w:line="440" w:lineRule="exact"/>
              <w:jc w:val="center"/>
              <w:rPr>
                <w:sz w:val="28"/>
                <w:szCs w:val="28"/>
              </w:rPr>
            </w:pPr>
            <w:r>
              <w:rPr>
                <w:sz w:val="28"/>
                <w:szCs w:val="28"/>
              </w:rPr>
              <w:t>限产10%，限产计量以高炉生产能力计，配套球团、烧结等设备同步限产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炼焦</w:t>
            </w:r>
          </w:p>
        </w:tc>
        <w:tc>
          <w:tcPr>
            <w:tcW w:w="1695" w:type="dxa"/>
            <w:noWrap w:val="0"/>
            <w:vAlign w:val="center"/>
          </w:tcPr>
          <w:p>
            <w:pPr>
              <w:spacing w:line="440" w:lineRule="exact"/>
              <w:jc w:val="center"/>
              <w:rPr>
                <w:sz w:val="28"/>
                <w:szCs w:val="28"/>
              </w:rPr>
            </w:pPr>
            <w:r>
              <w:rPr>
                <w:sz w:val="28"/>
                <w:szCs w:val="28"/>
              </w:rPr>
              <w:t>炼焦炉</w:t>
            </w:r>
          </w:p>
        </w:tc>
        <w:tc>
          <w:tcPr>
            <w:tcW w:w="3420" w:type="dxa"/>
            <w:noWrap w:val="0"/>
            <w:vAlign w:val="center"/>
          </w:tcPr>
          <w:p>
            <w:pPr>
              <w:spacing w:line="440" w:lineRule="exact"/>
              <w:jc w:val="center"/>
              <w:rPr>
                <w:sz w:val="28"/>
                <w:szCs w:val="28"/>
              </w:rPr>
            </w:pPr>
            <w:r>
              <w:rPr>
                <w:sz w:val="28"/>
                <w:szCs w:val="28"/>
              </w:rPr>
              <w:t>炼焦时间延长至36小时</w:t>
            </w:r>
          </w:p>
        </w:tc>
        <w:tc>
          <w:tcPr>
            <w:tcW w:w="3795" w:type="dxa"/>
            <w:noWrap w:val="0"/>
            <w:vAlign w:val="center"/>
          </w:tcPr>
          <w:p>
            <w:pPr>
              <w:spacing w:line="440" w:lineRule="exact"/>
              <w:jc w:val="center"/>
              <w:rPr>
                <w:sz w:val="28"/>
                <w:szCs w:val="28"/>
              </w:rPr>
            </w:pPr>
            <w:r>
              <w:rPr>
                <w:sz w:val="28"/>
                <w:szCs w:val="28"/>
              </w:rPr>
              <w:t>炼焦时间延长至26小时</w:t>
            </w:r>
          </w:p>
        </w:tc>
        <w:tc>
          <w:tcPr>
            <w:tcW w:w="3486" w:type="dxa"/>
            <w:noWrap w:val="0"/>
            <w:vAlign w:val="center"/>
          </w:tcPr>
          <w:p>
            <w:pPr>
              <w:spacing w:line="440" w:lineRule="exact"/>
              <w:jc w:val="center"/>
              <w:rPr>
                <w:sz w:val="28"/>
                <w:szCs w:val="28"/>
              </w:rPr>
            </w:pPr>
            <w:r>
              <w:rPr>
                <w:sz w:val="28"/>
                <w:szCs w:val="28"/>
              </w:rPr>
              <w:t>炼焦时间延长至22小时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铸造</w:t>
            </w:r>
          </w:p>
        </w:tc>
        <w:tc>
          <w:tcPr>
            <w:tcW w:w="1695" w:type="dxa"/>
            <w:noWrap w:val="0"/>
            <w:vAlign w:val="center"/>
          </w:tcPr>
          <w:p>
            <w:pPr>
              <w:spacing w:line="440" w:lineRule="exact"/>
              <w:jc w:val="center"/>
              <w:rPr>
                <w:sz w:val="28"/>
                <w:szCs w:val="28"/>
              </w:rPr>
            </w:pPr>
            <w:r>
              <w:rPr>
                <w:sz w:val="28"/>
                <w:szCs w:val="28"/>
              </w:rPr>
              <w:t>电炉</w:t>
            </w:r>
          </w:p>
        </w:tc>
        <w:tc>
          <w:tcPr>
            <w:tcW w:w="3420" w:type="dxa"/>
            <w:noWrap w:val="0"/>
            <w:vAlign w:val="center"/>
          </w:tcPr>
          <w:p>
            <w:pPr>
              <w:spacing w:line="440" w:lineRule="exact"/>
              <w:jc w:val="center"/>
              <w:rPr>
                <w:sz w:val="28"/>
                <w:szCs w:val="28"/>
              </w:rPr>
            </w:pPr>
            <w:r>
              <w:rPr>
                <w:sz w:val="28"/>
                <w:szCs w:val="28"/>
              </w:rPr>
              <w:t>停铸造工序</w:t>
            </w:r>
          </w:p>
        </w:tc>
        <w:tc>
          <w:tcPr>
            <w:tcW w:w="3795" w:type="dxa"/>
            <w:noWrap w:val="0"/>
            <w:vAlign w:val="center"/>
          </w:tcPr>
          <w:p>
            <w:pPr>
              <w:spacing w:line="440" w:lineRule="exact"/>
              <w:jc w:val="center"/>
              <w:rPr>
                <w:sz w:val="28"/>
                <w:szCs w:val="28"/>
              </w:rPr>
            </w:pPr>
            <w:r>
              <w:rPr>
                <w:sz w:val="28"/>
                <w:szCs w:val="28"/>
              </w:rPr>
              <w:t>停铸造工序</w:t>
            </w:r>
          </w:p>
        </w:tc>
        <w:tc>
          <w:tcPr>
            <w:tcW w:w="3486" w:type="dxa"/>
            <w:noWrap w:val="0"/>
            <w:vAlign w:val="center"/>
          </w:tcPr>
          <w:p>
            <w:pPr>
              <w:spacing w:line="440" w:lineRule="exact"/>
              <w:jc w:val="center"/>
              <w:rPr>
                <w:sz w:val="28"/>
                <w:szCs w:val="28"/>
              </w:rPr>
            </w:pPr>
            <w:r>
              <w:rPr>
                <w:sz w:val="28"/>
                <w:szCs w:val="28"/>
              </w:rPr>
              <w:t>停铸造工序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restart"/>
            <w:noWrap w:val="0"/>
            <w:vAlign w:val="center"/>
          </w:tcPr>
          <w:p>
            <w:pPr>
              <w:spacing w:line="440" w:lineRule="exact"/>
              <w:jc w:val="center"/>
              <w:rPr>
                <w:sz w:val="28"/>
                <w:szCs w:val="28"/>
              </w:rPr>
            </w:pPr>
            <w:r>
              <w:rPr>
                <w:sz w:val="28"/>
                <w:szCs w:val="28"/>
              </w:rPr>
              <w:t>非金属矿物制品业</w:t>
            </w:r>
          </w:p>
        </w:tc>
        <w:tc>
          <w:tcPr>
            <w:tcW w:w="1695" w:type="dxa"/>
            <w:noWrap w:val="0"/>
            <w:vAlign w:val="center"/>
          </w:tcPr>
          <w:p>
            <w:pPr>
              <w:spacing w:line="440" w:lineRule="exact"/>
              <w:jc w:val="center"/>
              <w:rPr>
                <w:sz w:val="28"/>
                <w:szCs w:val="28"/>
              </w:rPr>
            </w:pPr>
            <w:r>
              <w:rPr>
                <w:sz w:val="28"/>
                <w:szCs w:val="28"/>
              </w:rPr>
              <w:t>砖瓦窑</w:t>
            </w:r>
          </w:p>
        </w:tc>
        <w:tc>
          <w:tcPr>
            <w:tcW w:w="3420" w:type="dxa"/>
            <w:noWrap w:val="0"/>
            <w:vAlign w:val="center"/>
          </w:tcPr>
          <w:p>
            <w:pPr>
              <w:spacing w:line="440" w:lineRule="exact"/>
              <w:jc w:val="center"/>
              <w:rPr>
                <w:sz w:val="28"/>
                <w:szCs w:val="28"/>
              </w:rPr>
            </w:pPr>
            <w:r>
              <w:rPr>
                <w:sz w:val="28"/>
                <w:szCs w:val="28"/>
              </w:rPr>
              <w:t>停止破碎、浇筑，切割，成型等相关生产线生产</w:t>
            </w:r>
          </w:p>
        </w:tc>
        <w:tc>
          <w:tcPr>
            <w:tcW w:w="3795" w:type="dxa"/>
            <w:noWrap w:val="0"/>
            <w:vAlign w:val="center"/>
          </w:tcPr>
          <w:p>
            <w:pPr>
              <w:spacing w:line="440" w:lineRule="exact"/>
              <w:jc w:val="center"/>
              <w:rPr>
                <w:sz w:val="28"/>
                <w:szCs w:val="28"/>
              </w:rPr>
            </w:pPr>
            <w:r>
              <w:rPr>
                <w:sz w:val="28"/>
                <w:szCs w:val="28"/>
              </w:rPr>
              <w:t>停止破碎、浇筑，切割，成型等相关生产线生产</w:t>
            </w:r>
          </w:p>
        </w:tc>
        <w:tc>
          <w:tcPr>
            <w:tcW w:w="3486" w:type="dxa"/>
            <w:noWrap w:val="0"/>
            <w:vAlign w:val="center"/>
          </w:tcPr>
          <w:p>
            <w:pPr>
              <w:spacing w:line="440" w:lineRule="exact"/>
              <w:jc w:val="center"/>
              <w:rPr>
                <w:sz w:val="28"/>
                <w:szCs w:val="28"/>
              </w:rPr>
            </w:pPr>
            <w:r>
              <w:rPr>
                <w:sz w:val="28"/>
                <w:szCs w:val="28"/>
              </w:rPr>
              <w:t>停止破碎、浇筑，切割，成型等相关生产线生产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陶瓷</w:t>
            </w:r>
          </w:p>
        </w:tc>
        <w:tc>
          <w:tcPr>
            <w:tcW w:w="3420" w:type="dxa"/>
            <w:noWrap w:val="0"/>
            <w:vAlign w:val="center"/>
          </w:tcPr>
          <w:p>
            <w:pPr>
              <w:spacing w:line="440" w:lineRule="exact"/>
              <w:jc w:val="center"/>
              <w:rPr>
                <w:sz w:val="28"/>
                <w:szCs w:val="28"/>
              </w:rPr>
            </w:pPr>
            <w:r>
              <w:rPr>
                <w:sz w:val="28"/>
                <w:szCs w:val="28"/>
              </w:rPr>
              <w:t>停止进料，闷火保温</w:t>
            </w:r>
          </w:p>
        </w:tc>
        <w:tc>
          <w:tcPr>
            <w:tcW w:w="3795" w:type="dxa"/>
            <w:noWrap w:val="0"/>
            <w:vAlign w:val="center"/>
          </w:tcPr>
          <w:p>
            <w:pPr>
              <w:spacing w:line="440" w:lineRule="exact"/>
              <w:jc w:val="center"/>
              <w:rPr>
                <w:sz w:val="28"/>
                <w:szCs w:val="28"/>
              </w:rPr>
            </w:pPr>
            <w:r>
              <w:rPr>
                <w:sz w:val="28"/>
                <w:szCs w:val="28"/>
              </w:rPr>
              <w:t>停止进料，闷火保温</w:t>
            </w:r>
          </w:p>
        </w:tc>
        <w:tc>
          <w:tcPr>
            <w:tcW w:w="3486" w:type="dxa"/>
            <w:noWrap w:val="0"/>
            <w:vAlign w:val="center"/>
          </w:tcPr>
          <w:p>
            <w:pPr>
              <w:spacing w:line="440" w:lineRule="exact"/>
              <w:jc w:val="center"/>
              <w:rPr>
                <w:sz w:val="28"/>
                <w:szCs w:val="28"/>
              </w:rPr>
            </w:pPr>
            <w:r>
              <w:rPr>
                <w:sz w:val="28"/>
                <w:szCs w:val="28"/>
              </w:rPr>
              <w:t>停止进料，闷火保温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珍珠岩（除艾斯比）</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停产</w:t>
            </w:r>
          </w:p>
        </w:tc>
        <w:tc>
          <w:tcPr>
            <w:tcW w:w="3486" w:type="dxa"/>
            <w:noWrap w:val="0"/>
            <w:vAlign w:val="center"/>
          </w:tcPr>
          <w:p>
            <w:pPr>
              <w:spacing w:line="440" w:lineRule="exact"/>
              <w:jc w:val="center"/>
              <w:rPr>
                <w:sz w:val="28"/>
                <w:szCs w:val="28"/>
              </w:rPr>
            </w:pPr>
            <w:r>
              <w:rPr>
                <w:sz w:val="28"/>
                <w:szCs w:val="28"/>
              </w:rPr>
              <w:t>按照50%实行轮流停产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熟料</w:t>
            </w:r>
          </w:p>
        </w:tc>
        <w:tc>
          <w:tcPr>
            <w:tcW w:w="3420" w:type="dxa"/>
            <w:noWrap w:val="0"/>
            <w:vAlign w:val="center"/>
          </w:tcPr>
          <w:p>
            <w:pPr>
              <w:spacing w:line="440" w:lineRule="exact"/>
              <w:jc w:val="center"/>
              <w:rPr>
                <w:sz w:val="28"/>
                <w:szCs w:val="28"/>
              </w:rPr>
            </w:pPr>
            <w:r>
              <w:rPr>
                <w:sz w:val="28"/>
                <w:szCs w:val="28"/>
              </w:rPr>
              <w:t>所有污染物排放总量减少30%（以在线监测数据统计）、粉磨线停产</w:t>
            </w:r>
          </w:p>
        </w:tc>
        <w:tc>
          <w:tcPr>
            <w:tcW w:w="3795" w:type="dxa"/>
            <w:noWrap w:val="0"/>
            <w:vAlign w:val="center"/>
          </w:tcPr>
          <w:p>
            <w:pPr>
              <w:spacing w:line="440" w:lineRule="exact"/>
              <w:jc w:val="center"/>
              <w:rPr>
                <w:sz w:val="28"/>
                <w:szCs w:val="28"/>
              </w:rPr>
            </w:pPr>
            <w:r>
              <w:rPr>
                <w:sz w:val="28"/>
                <w:szCs w:val="28"/>
              </w:rPr>
              <w:t>所有污染物排放总量减少20%（以在线监测数据统计）、粉磨线停产</w:t>
            </w:r>
          </w:p>
        </w:tc>
        <w:tc>
          <w:tcPr>
            <w:tcW w:w="3486" w:type="dxa"/>
            <w:noWrap w:val="0"/>
            <w:vAlign w:val="center"/>
          </w:tcPr>
          <w:p>
            <w:pPr>
              <w:spacing w:line="440" w:lineRule="exact"/>
              <w:jc w:val="center"/>
              <w:rPr>
                <w:sz w:val="28"/>
                <w:szCs w:val="28"/>
              </w:rPr>
            </w:pPr>
            <w:r>
              <w:rPr>
                <w:sz w:val="28"/>
                <w:szCs w:val="28"/>
              </w:rPr>
              <w:t>所有污染物排放总量减少10%（以在线监测数据统计）、粉磨线停产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水泥粉磨站</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停产</w:t>
            </w:r>
          </w:p>
        </w:tc>
        <w:tc>
          <w:tcPr>
            <w:tcW w:w="3486" w:type="dxa"/>
            <w:noWrap w:val="0"/>
            <w:vAlign w:val="center"/>
          </w:tcPr>
          <w:p>
            <w:pPr>
              <w:spacing w:line="440" w:lineRule="exact"/>
              <w:jc w:val="center"/>
              <w:rPr>
                <w:sz w:val="28"/>
                <w:szCs w:val="28"/>
              </w:rPr>
            </w:pPr>
            <w:r>
              <w:rPr>
                <w:sz w:val="28"/>
                <w:szCs w:val="28"/>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混凝土搅拌站</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停产</w:t>
            </w:r>
          </w:p>
        </w:tc>
        <w:tc>
          <w:tcPr>
            <w:tcW w:w="3486" w:type="dxa"/>
            <w:noWrap w:val="0"/>
            <w:vAlign w:val="center"/>
          </w:tcPr>
          <w:p>
            <w:pPr>
              <w:spacing w:line="440" w:lineRule="exact"/>
              <w:jc w:val="center"/>
              <w:rPr>
                <w:sz w:val="28"/>
                <w:szCs w:val="28"/>
              </w:rPr>
            </w:pPr>
            <w:r>
              <w:rPr>
                <w:sz w:val="28"/>
                <w:szCs w:val="28"/>
              </w:rPr>
              <w:t>未达到无组织排放治理要求的一律停产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水泥制品、加气砖等</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停产</w:t>
            </w:r>
          </w:p>
        </w:tc>
        <w:tc>
          <w:tcPr>
            <w:tcW w:w="3486" w:type="dxa"/>
            <w:noWrap w:val="0"/>
            <w:vAlign w:val="center"/>
          </w:tcPr>
          <w:p>
            <w:pPr>
              <w:spacing w:line="440" w:lineRule="exact"/>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矿山碎石厂</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停产</w:t>
            </w:r>
          </w:p>
        </w:tc>
        <w:tc>
          <w:tcPr>
            <w:tcW w:w="3486" w:type="dxa"/>
            <w:noWrap w:val="0"/>
            <w:vAlign w:val="center"/>
          </w:tcPr>
          <w:p>
            <w:pPr>
              <w:spacing w:line="440" w:lineRule="exact"/>
              <w:jc w:val="center"/>
              <w:rPr>
                <w:sz w:val="28"/>
                <w:szCs w:val="28"/>
              </w:rPr>
            </w:pPr>
            <w:r>
              <w:rPr>
                <w:sz w:val="28"/>
                <w:szCs w:val="28"/>
              </w:rPr>
              <w:t>停止破碎、露天开采工序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restart"/>
            <w:noWrap w:val="0"/>
            <w:vAlign w:val="center"/>
          </w:tcPr>
          <w:p>
            <w:pPr>
              <w:spacing w:line="440" w:lineRule="exact"/>
              <w:jc w:val="center"/>
              <w:rPr>
                <w:sz w:val="28"/>
                <w:szCs w:val="28"/>
              </w:rPr>
            </w:pPr>
            <w:r>
              <w:rPr>
                <w:sz w:val="28"/>
                <w:szCs w:val="28"/>
              </w:rPr>
              <w:t>医药制造</w:t>
            </w:r>
          </w:p>
        </w:tc>
        <w:tc>
          <w:tcPr>
            <w:tcW w:w="1695" w:type="dxa"/>
            <w:noWrap w:val="0"/>
            <w:vAlign w:val="center"/>
          </w:tcPr>
          <w:p>
            <w:pPr>
              <w:spacing w:line="440" w:lineRule="exact"/>
              <w:jc w:val="center"/>
              <w:rPr>
                <w:sz w:val="28"/>
                <w:szCs w:val="28"/>
              </w:rPr>
            </w:pPr>
            <w:r>
              <w:rPr>
                <w:sz w:val="28"/>
                <w:szCs w:val="28"/>
              </w:rPr>
              <w:t>原料药</w:t>
            </w:r>
          </w:p>
        </w:tc>
        <w:tc>
          <w:tcPr>
            <w:tcW w:w="3420" w:type="dxa"/>
            <w:noWrap w:val="0"/>
            <w:vAlign w:val="center"/>
          </w:tcPr>
          <w:p>
            <w:pPr>
              <w:spacing w:line="440" w:lineRule="exact"/>
              <w:jc w:val="center"/>
              <w:rPr>
                <w:sz w:val="28"/>
                <w:szCs w:val="28"/>
              </w:rPr>
            </w:pPr>
            <w:r>
              <w:rPr>
                <w:sz w:val="28"/>
                <w:szCs w:val="28"/>
              </w:rPr>
              <w:t>限产50%,以反应釜计</w:t>
            </w:r>
          </w:p>
        </w:tc>
        <w:tc>
          <w:tcPr>
            <w:tcW w:w="3795" w:type="dxa"/>
            <w:noWrap w:val="0"/>
            <w:vAlign w:val="center"/>
          </w:tcPr>
          <w:p>
            <w:pPr>
              <w:spacing w:line="440" w:lineRule="exact"/>
              <w:jc w:val="center"/>
              <w:rPr>
                <w:sz w:val="28"/>
                <w:szCs w:val="28"/>
              </w:rPr>
            </w:pPr>
            <w:r>
              <w:rPr>
                <w:sz w:val="28"/>
                <w:szCs w:val="28"/>
              </w:rPr>
              <w:t>限产30%,以反应釜计</w:t>
            </w:r>
          </w:p>
        </w:tc>
        <w:tc>
          <w:tcPr>
            <w:tcW w:w="3486" w:type="dxa"/>
            <w:noWrap w:val="0"/>
            <w:vAlign w:val="center"/>
          </w:tcPr>
          <w:p>
            <w:pPr>
              <w:spacing w:line="440" w:lineRule="exact"/>
              <w:jc w:val="center"/>
              <w:rPr>
                <w:sz w:val="28"/>
                <w:szCs w:val="28"/>
              </w:rPr>
            </w:pPr>
            <w:r>
              <w:rPr>
                <w:sz w:val="28"/>
                <w:szCs w:val="28"/>
              </w:rPr>
              <w:t>限产20%,以反应釜计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其他</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不采取措施</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restart"/>
            <w:noWrap w:val="0"/>
            <w:vAlign w:val="center"/>
          </w:tcPr>
          <w:p>
            <w:pPr>
              <w:spacing w:line="440" w:lineRule="exact"/>
              <w:jc w:val="center"/>
              <w:rPr>
                <w:sz w:val="28"/>
                <w:szCs w:val="28"/>
              </w:rPr>
            </w:pPr>
            <w:r>
              <w:rPr>
                <w:sz w:val="28"/>
                <w:szCs w:val="28"/>
              </w:rPr>
              <w:t>化学原料和化学制品制造业</w:t>
            </w:r>
          </w:p>
        </w:tc>
        <w:tc>
          <w:tcPr>
            <w:tcW w:w="1695" w:type="dxa"/>
            <w:noWrap w:val="0"/>
            <w:vAlign w:val="center"/>
          </w:tcPr>
          <w:p>
            <w:pPr>
              <w:spacing w:line="440" w:lineRule="exact"/>
              <w:jc w:val="center"/>
              <w:rPr>
                <w:sz w:val="28"/>
                <w:szCs w:val="28"/>
              </w:rPr>
            </w:pPr>
            <w:r>
              <w:rPr>
                <w:sz w:val="28"/>
                <w:szCs w:val="28"/>
              </w:rPr>
              <w:t>化工原料</w:t>
            </w:r>
          </w:p>
        </w:tc>
        <w:tc>
          <w:tcPr>
            <w:tcW w:w="3420" w:type="dxa"/>
            <w:noWrap w:val="0"/>
            <w:vAlign w:val="center"/>
          </w:tcPr>
          <w:p>
            <w:pPr>
              <w:spacing w:line="440" w:lineRule="exact"/>
              <w:jc w:val="center"/>
              <w:rPr>
                <w:sz w:val="28"/>
                <w:szCs w:val="28"/>
              </w:rPr>
            </w:pPr>
            <w:r>
              <w:rPr>
                <w:sz w:val="28"/>
                <w:szCs w:val="28"/>
              </w:rPr>
              <w:t>停止进料，逐步停产，错峰运输</w:t>
            </w:r>
          </w:p>
        </w:tc>
        <w:tc>
          <w:tcPr>
            <w:tcW w:w="3795" w:type="dxa"/>
            <w:noWrap w:val="0"/>
            <w:vAlign w:val="center"/>
          </w:tcPr>
          <w:p>
            <w:pPr>
              <w:spacing w:line="440" w:lineRule="exact"/>
              <w:jc w:val="center"/>
              <w:rPr>
                <w:sz w:val="28"/>
                <w:szCs w:val="28"/>
              </w:rPr>
            </w:pPr>
            <w:r>
              <w:rPr>
                <w:sz w:val="28"/>
                <w:szCs w:val="28"/>
              </w:rPr>
              <w:t>停止进料，逐步停产，错峰运输</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其他</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不采取措施</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家具行业</w:t>
            </w:r>
          </w:p>
        </w:tc>
        <w:tc>
          <w:tcPr>
            <w:tcW w:w="1695" w:type="dxa"/>
            <w:noWrap w:val="0"/>
            <w:vAlign w:val="center"/>
          </w:tcPr>
          <w:p>
            <w:pPr>
              <w:spacing w:line="440" w:lineRule="exact"/>
              <w:jc w:val="center"/>
              <w:rPr>
                <w:sz w:val="28"/>
                <w:szCs w:val="28"/>
              </w:rPr>
            </w:pPr>
            <w:r>
              <w:rPr>
                <w:sz w:val="28"/>
                <w:szCs w:val="28"/>
              </w:rPr>
              <w:t>喷漆</w:t>
            </w:r>
          </w:p>
        </w:tc>
        <w:tc>
          <w:tcPr>
            <w:tcW w:w="3420" w:type="dxa"/>
            <w:noWrap w:val="0"/>
            <w:vAlign w:val="center"/>
          </w:tcPr>
          <w:p>
            <w:pPr>
              <w:spacing w:line="440" w:lineRule="exact"/>
              <w:jc w:val="center"/>
              <w:rPr>
                <w:sz w:val="28"/>
                <w:szCs w:val="28"/>
              </w:rPr>
            </w:pPr>
            <w:r>
              <w:rPr>
                <w:sz w:val="28"/>
                <w:szCs w:val="28"/>
              </w:rPr>
              <w:t>停喷漆、焊接工序</w:t>
            </w:r>
          </w:p>
        </w:tc>
        <w:tc>
          <w:tcPr>
            <w:tcW w:w="3795" w:type="dxa"/>
            <w:noWrap w:val="0"/>
            <w:vAlign w:val="center"/>
          </w:tcPr>
          <w:p>
            <w:pPr>
              <w:spacing w:line="440" w:lineRule="exact"/>
              <w:jc w:val="center"/>
              <w:rPr>
                <w:sz w:val="28"/>
                <w:szCs w:val="28"/>
              </w:rPr>
            </w:pPr>
            <w:r>
              <w:rPr>
                <w:sz w:val="28"/>
                <w:szCs w:val="28"/>
              </w:rPr>
              <w:t>停喷涂工序</w:t>
            </w:r>
          </w:p>
        </w:tc>
        <w:tc>
          <w:tcPr>
            <w:tcW w:w="3486" w:type="dxa"/>
            <w:noWrap w:val="0"/>
            <w:vAlign w:val="center"/>
          </w:tcPr>
          <w:p>
            <w:pPr>
              <w:spacing w:line="440" w:lineRule="exact"/>
              <w:jc w:val="center"/>
              <w:rPr>
                <w:sz w:val="28"/>
                <w:szCs w:val="28"/>
              </w:rPr>
            </w:pPr>
            <w:r>
              <w:rPr>
                <w:sz w:val="28"/>
                <w:szCs w:val="28"/>
              </w:rPr>
              <w:t>停喷涂工序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汽修行业</w:t>
            </w:r>
          </w:p>
        </w:tc>
        <w:tc>
          <w:tcPr>
            <w:tcW w:w="1695" w:type="dxa"/>
            <w:noWrap w:val="0"/>
            <w:vAlign w:val="center"/>
          </w:tcPr>
          <w:p>
            <w:pPr>
              <w:spacing w:line="440" w:lineRule="exact"/>
              <w:jc w:val="center"/>
              <w:rPr>
                <w:sz w:val="28"/>
                <w:szCs w:val="28"/>
              </w:rPr>
            </w:pPr>
            <w:r>
              <w:rPr>
                <w:sz w:val="28"/>
                <w:szCs w:val="28"/>
              </w:rPr>
              <w:t>喷漆</w:t>
            </w:r>
          </w:p>
        </w:tc>
        <w:tc>
          <w:tcPr>
            <w:tcW w:w="3420" w:type="dxa"/>
            <w:noWrap w:val="0"/>
            <w:vAlign w:val="center"/>
          </w:tcPr>
          <w:p>
            <w:pPr>
              <w:spacing w:line="440" w:lineRule="exact"/>
              <w:jc w:val="center"/>
              <w:rPr>
                <w:sz w:val="28"/>
                <w:szCs w:val="28"/>
              </w:rPr>
            </w:pPr>
            <w:r>
              <w:rPr>
                <w:sz w:val="28"/>
                <w:szCs w:val="28"/>
              </w:rPr>
              <w:t>停喷涂工序</w:t>
            </w:r>
          </w:p>
        </w:tc>
        <w:tc>
          <w:tcPr>
            <w:tcW w:w="3795" w:type="dxa"/>
            <w:noWrap w:val="0"/>
            <w:vAlign w:val="center"/>
          </w:tcPr>
          <w:p>
            <w:pPr>
              <w:spacing w:line="440" w:lineRule="exact"/>
              <w:jc w:val="center"/>
              <w:rPr>
                <w:sz w:val="28"/>
                <w:szCs w:val="28"/>
              </w:rPr>
            </w:pPr>
            <w:r>
              <w:rPr>
                <w:sz w:val="28"/>
                <w:szCs w:val="28"/>
              </w:rPr>
              <w:t>停喷涂工序</w:t>
            </w:r>
          </w:p>
        </w:tc>
        <w:tc>
          <w:tcPr>
            <w:tcW w:w="3486" w:type="dxa"/>
            <w:noWrap w:val="0"/>
            <w:vAlign w:val="center"/>
          </w:tcPr>
          <w:p>
            <w:pPr>
              <w:spacing w:line="440" w:lineRule="exact"/>
              <w:jc w:val="center"/>
              <w:rPr>
                <w:sz w:val="28"/>
                <w:szCs w:val="28"/>
              </w:rPr>
            </w:pPr>
            <w:r>
              <w:rPr>
                <w:sz w:val="28"/>
                <w:szCs w:val="28"/>
              </w:rPr>
              <w:t>停喷涂工序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酒、饮料生产行业</w:t>
            </w:r>
          </w:p>
        </w:tc>
        <w:tc>
          <w:tcPr>
            <w:tcW w:w="1695" w:type="dxa"/>
            <w:noWrap w:val="0"/>
            <w:vAlign w:val="center"/>
          </w:tcPr>
          <w:p>
            <w:pPr>
              <w:spacing w:line="440" w:lineRule="exact"/>
              <w:jc w:val="center"/>
              <w:rPr>
                <w:sz w:val="28"/>
                <w:szCs w:val="28"/>
              </w:rPr>
            </w:pP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不采取措施</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restart"/>
            <w:noWrap w:val="0"/>
            <w:vAlign w:val="center"/>
          </w:tcPr>
          <w:p>
            <w:pPr>
              <w:spacing w:line="440" w:lineRule="exact"/>
              <w:jc w:val="center"/>
              <w:rPr>
                <w:rFonts w:hint="eastAsia"/>
                <w:sz w:val="28"/>
                <w:szCs w:val="28"/>
              </w:rPr>
            </w:pPr>
            <w:r>
              <w:rPr>
                <w:sz w:val="28"/>
                <w:szCs w:val="28"/>
              </w:rPr>
              <w:t>木材加工</w:t>
            </w:r>
          </w:p>
          <w:p>
            <w:pPr>
              <w:spacing w:line="440" w:lineRule="exact"/>
              <w:jc w:val="center"/>
              <w:rPr>
                <w:sz w:val="28"/>
                <w:szCs w:val="28"/>
              </w:rPr>
            </w:pPr>
            <w:r>
              <w:rPr>
                <w:sz w:val="28"/>
                <w:szCs w:val="28"/>
              </w:rPr>
              <w:t>行业</w:t>
            </w:r>
          </w:p>
        </w:tc>
        <w:tc>
          <w:tcPr>
            <w:tcW w:w="1695" w:type="dxa"/>
            <w:noWrap w:val="0"/>
            <w:vAlign w:val="center"/>
          </w:tcPr>
          <w:p>
            <w:pPr>
              <w:spacing w:line="440" w:lineRule="exact"/>
              <w:jc w:val="center"/>
              <w:rPr>
                <w:sz w:val="28"/>
                <w:szCs w:val="28"/>
              </w:rPr>
            </w:pPr>
            <w:r>
              <w:rPr>
                <w:sz w:val="28"/>
                <w:szCs w:val="28"/>
              </w:rPr>
              <w:t>刨花板、纤维板</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停50%以上生产线</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vMerge w:val="continue"/>
            <w:noWrap w:val="0"/>
            <w:vAlign w:val="center"/>
          </w:tcPr>
          <w:p>
            <w:pPr>
              <w:spacing w:line="440" w:lineRule="exact"/>
              <w:jc w:val="center"/>
              <w:rPr>
                <w:sz w:val="28"/>
                <w:szCs w:val="28"/>
              </w:rPr>
            </w:pPr>
          </w:p>
        </w:tc>
        <w:tc>
          <w:tcPr>
            <w:tcW w:w="1695" w:type="dxa"/>
            <w:noWrap w:val="0"/>
            <w:vAlign w:val="center"/>
          </w:tcPr>
          <w:p>
            <w:pPr>
              <w:spacing w:line="440" w:lineRule="exact"/>
              <w:jc w:val="center"/>
              <w:rPr>
                <w:sz w:val="28"/>
                <w:szCs w:val="28"/>
              </w:rPr>
            </w:pPr>
            <w:r>
              <w:rPr>
                <w:sz w:val="28"/>
                <w:szCs w:val="28"/>
              </w:rPr>
              <w:t>其他</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停涂胶、喷漆工序</w:t>
            </w:r>
          </w:p>
        </w:tc>
        <w:tc>
          <w:tcPr>
            <w:tcW w:w="3486" w:type="dxa"/>
            <w:noWrap w:val="0"/>
            <w:vAlign w:val="center"/>
          </w:tcPr>
          <w:p>
            <w:pPr>
              <w:spacing w:line="440" w:lineRule="exact"/>
              <w:jc w:val="center"/>
              <w:rPr>
                <w:sz w:val="28"/>
                <w:szCs w:val="28"/>
              </w:rPr>
            </w:pPr>
            <w:r>
              <w:rPr>
                <w:sz w:val="28"/>
                <w:szCs w:val="28"/>
              </w:rPr>
              <w:t>停涂胶、喷漆工序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食品生产</w:t>
            </w:r>
          </w:p>
        </w:tc>
        <w:tc>
          <w:tcPr>
            <w:tcW w:w="1695" w:type="dxa"/>
            <w:noWrap w:val="0"/>
            <w:vAlign w:val="center"/>
          </w:tcPr>
          <w:p>
            <w:pPr>
              <w:spacing w:line="440" w:lineRule="exact"/>
              <w:jc w:val="center"/>
              <w:rPr>
                <w:sz w:val="28"/>
                <w:szCs w:val="28"/>
              </w:rPr>
            </w:pP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不采取措施</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农副食品</w:t>
            </w:r>
          </w:p>
        </w:tc>
        <w:tc>
          <w:tcPr>
            <w:tcW w:w="1695" w:type="dxa"/>
            <w:noWrap w:val="0"/>
            <w:vAlign w:val="center"/>
          </w:tcPr>
          <w:p>
            <w:pPr>
              <w:spacing w:line="440" w:lineRule="exact"/>
              <w:jc w:val="center"/>
              <w:rPr>
                <w:sz w:val="28"/>
                <w:szCs w:val="28"/>
              </w:rPr>
            </w:pPr>
            <w:r>
              <w:rPr>
                <w:sz w:val="28"/>
                <w:szCs w:val="28"/>
              </w:rPr>
              <w:t>饲料、面粉</w:t>
            </w: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不采取措施</w:t>
            </w:r>
          </w:p>
        </w:tc>
        <w:tc>
          <w:tcPr>
            <w:tcW w:w="3486" w:type="dxa"/>
            <w:noWrap w:val="0"/>
            <w:vAlign w:val="center"/>
          </w:tcPr>
          <w:p>
            <w:pPr>
              <w:spacing w:line="440" w:lineRule="exact"/>
              <w:jc w:val="center"/>
              <w:rPr>
                <w:sz w:val="28"/>
                <w:szCs w:val="28"/>
              </w:rPr>
            </w:pPr>
            <w:r>
              <w:rPr>
                <w:sz w:val="28"/>
                <w:szCs w:val="28"/>
              </w:rPr>
              <w:t>不采取措施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金属、设备制造</w:t>
            </w:r>
          </w:p>
        </w:tc>
        <w:tc>
          <w:tcPr>
            <w:tcW w:w="1695" w:type="dxa"/>
            <w:noWrap w:val="0"/>
            <w:vAlign w:val="center"/>
          </w:tcPr>
          <w:p>
            <w:pPr>
              <w:spacing w:line="440" w:lineRule="exact"/>
              <w:jc w:val="center"/>
              <w:rPr>
                <w:sz w:val="28"/>
                <w:szCs w:val="28"/>
              </w:rPr>
            </w:pPr>
            <w:r>
              <w:rPr>
                <w:sz w:val="28"/>
                <w:szCs w:val="28"/>
              </w:rPr>
              <w:t>焊接</w:t>
            </w:r>
          </w:p>
        </w:tc>
        <w:tc>
          <w:tcPr>
            <w:tcW w:w="3420" w:type="dxa"/>
            <w:noWrap w:val="0"/>
            <w:vAlign w:val="center"/>
          </w:tcPr>
          <w:p>
            <w:pPr>
              <w:spacing w:line="440" w:lineRule="exact"/>
              <w:jc w:val="center"/>
              <w:rPr>
                <w:sz w:val="28"/>
                <w:szCs w:val="28"/>
              </w:rPr>
            </w:pPr>
            <w:r>
              <w:rPr>
                <w:sz w:val="28"/>
                <w:szCs w:val="28"/>
              </w:rPr>
              <w:t>焊接、喷漆工序停止</w:t>
            </w:r>
          </w:p>
        </w:tc>
        <w:tc>
          <w:tcPr>
            <w:tcW w:w="3795" w:type="dxa"/>
            <w:noWrap w:val="0"/>
            <w:vAlign w:val="center"/>
          </w:tcPr>
          <w:p>
            <w:pPr>
              <w:spacing w:line="440" w:lineRule="exact"/>
              <w:jc w:val="center"/>
              <w:rPr>
                <w:sz w:val="28"/>
                <w:szCs w:val="28"/>
              </w:rPr>
            </w:pPr>
            <w:r>
              <w:rPr>
                <w:sz w:val="28"/>
                <w:szCs w:val="28"/>
              </w:rPr>
              <w:t>焊接、喷漆工序停止</w:t>
            </w:r>
          </w:p>
        </w:tc>
        <w:tc>
          <w:tcPr>
            <w:tcW w:w="3486" w:type="dxa"/>
            <w:noWrap w:val="0"/>
            <w:vAlign w:val="center"/>
          </w:tcPr>
          <w:p>
            <w:pPr>
              <w:spacing w:line="440" w:lineRule="exact"/>
              <w:jc w:val="center"/>
              <w:rPr>
                <w:sz w:val="28"/>
                <w:szCs w:val="28"/>
              </w:rPr>
            </w:pPr>
            <w:r>
              <w:rPr>
                <w:sz w:val="28"/>
                <w:szCs w:val="28"/>
              </w:rPr>
              <w:t>焊接、喷漆工序停止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塑料橡胶</w:t>
            </w:r>
          </w:p>
        </w:tc>
        <w:tc>
          <w:tcPr>
            <w:tcW w:w="1695" w:type="dxa"/>
            <w:noWrap w:val="0"/>
            <w:vAlign w:val="center"/>
          </w:tcPr>
          <w:p>
            <w:pPr>
              <w:spacing w:line="440" w:lineRule="exact"/>
              <w:jc w:val="center"/>
              <w:rPr>
                <w:sz w:val="28"/>
                <w:szCs w:val="28"/>
              </w:rPr>
            </w:pPr>
          </w:p>
        </w:tc>
        <w:tc>
          <w:tcPr>
            <w:tcW w:w="3420" w:type="dxa"/>
            <w:noWrap w:val="0"/>
            <w:vAlign w:val="center"/>
          </w:tcPr>
          <w:p>
            <w:pPr>
              <w:spacing w:line="440" w:lineRule="exact"/>
              <w:jc w:val="center"/>
              <w:rPr>
                <w:sz w:val="28"/>
                <w:szCs w:val="28"/>
              </w:rPr>
            </w:pPr>
            <w:r>
              <w:rPr>
                <w:sz w:val="28"/>
                <w:szCs w:val="28"/>
              </w:rPr>
              <w:t>停产</w:t>
            </w:r>
          </w:p>
        </w:tc>
        <w:tc>
          <w:tcPr>
            <w:tcW w:w="3795" w:type="dxa"/>
            <w:noWrap w:val="0"/>
            <w:vAlign w:val="center"/>
          </w:tcPr>
          <w:p>
            <w:pPr>
              <w:spacing w:line="440" w:lineRule="exact"/>
              <w:jc w:val="center"/>
              <w:rPr>
                <w:sz w:val="28"/>
                <w:szCs w:val="28"/>
              </w:rPr>
            </w:pPr>
            <w:r>
              <w:rPr>
                <w:sz w:val="28"/>
                <w:szCs w:val="28"/>
              </w:rPr>
              <w:t>停50%注塑设备</w:t>
            </w:r>
          </w:p>
        </w:tc>
        <w:tc>
          <w:tcPr>
            <w:tcW w:w="3486" w:type="dxa"/>
            <w:noWrap w:val="0"/>
            <w:vAlign w:val="center"/>
          </w:tcPr>
          <w:p>
            <w:pPr>
              <w:spacing w:line="440" w:lineRule="exact"/>
              <w:jc w:val="center"/>
              <w:rPr>
                <w:sz w:val="28"/>
                <w:szCs w:val="28"/>
              </w:rPr>
            </w:pPr>
            <w:r>
              <w:rPr>
                <w:sz w:val="28"/>
                <w:szCs w:val="28"/>
              </w:rPr>
              <w:t>停30%注塑设备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印刷行业</w:t>
            </w:r>
          </w:p>
        </w:tc>
        <w:tc>
          <w:tcPr>
            <w:tcW w:w="1695" w:type="dxa"/>
            <w:noWrap w:val="0"/>
            <w:vAlign w:val="center"/>
          </w:tcPr>
          <w:p>
            <w:pPr>
              <w:spacing w:line="440" w:lineRule="exact"/>
              <w:jc w:val="center"/>
              <w:rPr>
                <w:sz w:val="28"/>
                <w:szCs w:val="28"/>
              </w:rPr>
            </w:pPr>
          </w:p>
        </w:tc>
        <w:tc>
          <w:tcPr>
            <w:tcW w:w="3420" w:type="dxa"/>
            <w:noWrap w:val="0"/>
            <w:vAlign w:val="center"/>
          </w:tcPr>
          <w:p>
            <w:pPr>
              <w:spacing w:line="440" w:lineRule="exact"/>
              <w:jc w:val="center"/>
              <w:rPr>
                <w:sz w:val="28"/>
                <w:szCs w:val="28"/>
              </w:rPr>
            </w:pPr>
            <w:r>
              <w:rPr>
                <w:sz w:val="28"/>
                <w:szCs w:val="28"/>
              </w:rPr>
              <w:t>印刷工序全部停产</w:t>
            </w:r>
          </w:p>
        </w:tc>
        <w:tc>
          <w:tcPr>
            <w:tcW w:w="3795" w:type="dxa"/>
            <w:noWrap w:val="0"/>
            <w:vAlign w:val="center"/>
          </w:tcPr>
          <w:p>
            <w:pPr>
              <w:spacing w:line="440" w:lineRule="exact"/>
              <w:jc w:val="center"/>
              <w:rPr>
                <w:sz w:val="28"/>
                <w:szCs w:val="28"/>
              </w:rPr>
            </w:pPr>
            <w:r>
              <w:rPr>
                <w:sz w:val="28"/>
                <w:szCs w:val="28"/>
              </w:rPr>
              <w:t>印刷工序全部停产</w:t>
            </w:r>
          </w:p>
        </w:tc>
        <w:tc>
          <w:tcPr>
            <w:tcW w:w="3486" w:type="dxa"/>
            <w:noWrap w:val="0"/>
            <w:vAlign w:val="center"/>
          </w:tcPr>
          <w:p>
            <w:pPr>
              <w:spacing w:line="440" w:lineRule="exact"/>
              <w:jc w:val="center"/>
              <w:rPr>
                <w:sz w:val="28"/>
                <w:szCs w:val="28"/>
              </w:rPr>
            </w:pPr>
            <w:r>
              <w:rPr>
                <w:sz w:val="28"/>
                <w:szCs w:val="28"/>
              </w:rPr>
              <w:t>印刷工序全部停产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移动源</w:t>
            </w:r>
          </w:p>
        </w:tc>
        <w:tc>
          <w:tcPr>
            <w:tcW w:w="1695" w:type="dxa"/>
            <w:noWrap w:val="0"/>
            <w:vAlign w:val="center"/>
          </w:tcPr>
          <w:p>
            <w:pPr>
              <w:spacing w:line="440" w:lineRule="exact"/>
              <w:jc w:val="center"/>
              <w:rPr>
                <w:sz w:val="28"/>
                <w:szCs w:val="28"/>
              </w:rPr>
            </w:pPr>
            <w:r>
              <w:rPr>
                <w:sz w:val="28"/>
                <w:szCs w:val="28"/>
              </w:rPr>
              <w:t>/</w:t>
            </w:r>
          </w:p>
        </w:tc>
        <w:tc>
          <w:tcPr>
            <w:tcW w:w="3420" w:type="dxa"/>
            <w:noWrap w:val="0"/>
            <w:vAlign w:val="center"/>
          </w:tcPr>
          <w:p>
            <w:pPr>
              <w:spacing w:line="440" w:lineRule="exact"/>
              <w:jc w:val="center"/>
              <w:rPr>
                <w:sz w:val="28"/>
                <w:szCs w:val="28"/>
              </w:rPr>
            </w:pPr>
            <w:r>
              <w:rPr>
                <w:sz w:val="28"/>
                <w:szCs w:val="28"/>
              </w:rPr>
              <w:t>/</w:t>
            </w:r>
          </w:p>
        </w:tc>
        <w:tc>
          <w:tcPr>
            <w:tcW w:w="3795" w:type="dxa"/>
            <w:noWrap w:val="0"/>
            <w:vAlign w:val="center"/>
          </w:tcPr>
          <w:p>
            <w:pPr>
              <w:spacing w:line="440" w:lineRule="exact"/>
              <w:jc w:val="center"/>
              <w:rPr>
                <w:sz w:val="28"/>
                <w:szCs w:val="28"/>
              </w:rPr>
            </w:pPr>
            <w:r>
              <w:rPr>
                <w:sz w:val="28"/>
                <w:szCs w:val="28"/>
              </w:rPr>
              <w:t>/</w:t>
            </w:r>
          </w:p>
        </w:tc>
        <w:tc>
          <w:tcPr>
            <w:tcW w:w="3486" w:type="dxa"/>
            <w:noWrap w:val="0"/>
            <w:vAlign w:val="center"/>
          </w:tcPr>
          <w:p>
            <w:pPr>
              <w:spacing w:line="440" w:lineRule="exact"/>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施工扬尘</w:t>
            </w:r>
          </w:p>
        </w:tc>
        <w:tc>
          <w:tcPr>
            <w:tcW w:w="1695" w:type="dxa"/>
            <w:noWrap w:val="0"/>
            <w:vAlign w:val="center"/>
          </w:tcPr>
          <w:p>
            <w:pPr>
              <w:spacing w:line="440" w:lineRule="exact"/>
              <w:jc w:val="center"/>
              <w:rPr>
                <w:sz w:val="28"/>
                <w:szCs w:val="28"/>
              </w:rPr>
            </w:pPr>
            <w:r>
              <w:rPr>
                <w:sz w:val="28"/>
                <w:szCs w:val="28"/>
              </w:rPr>
              <w:t>施工工地</w:t>
            </w:r>
          </w:p>
        </w:tc>
        <w:tc>
          <w:tcPr>
            <w:tcW w:w="3420" w:type="dxa"/>
            <w:noWrap w:val="0"/>
            <w:vAlign w:val="center"/>
          </w:tcPr>
          <w:p>
            <w:pPr>
              <w:spacing w:line="440" w:lineRule="exact"/>
              <w:jc w:val="center"/>
              <w:rPr>
                <w:sz w:val="28"/>
                <w:szCs w:val="28"/>
              </w:rPr>
            </w:pPr>
            <w:r>
              <w:rPr>
                <w:sz w:val="28"/>
                <w:szCs w:val="28"/>
              </w:rPr>
              <w:t>停土石方作业</w:t>
            </w:r>
          </w:p>
        </w:tc>
        <w:tc>
          <w:tcPr>
            <w:tcW w:w="3795" w:type="dxa"/>
            <w:noWrap w:val="0"/>
            <w:vAlign w:val="center"/>
          </w:tcPr>
          <w:p>
            <w:pPr>
              <w:spacing w:line="440" w:lineRule="exact"/>
              <w:jc w:val="center"/>
              <w:rPr>
                <w:sz w:val="28"/>
                <w:szCs w:val="28"/>
              </w:rPr>
            </w:pPr>
            <w:r>
              <w:rPr>
                <w:sz w:val="28"/>
                <w:szCs w:val="28"/>
              </w:rPr>
              <w:t>停土石方作业</w:t>
            </w:r>
          </w:p>
        </w:tc>
        <w:tc>
          <w:tcPr>
            <w:tcW w:w="3486" w:type="dxa"/>
            <w:noWrap w:val="0"/>
            <w:vAlign w:val="center"/>
          </w:tcPr>
          <w:p>
            <w:pPr>
              <w:spacing w:line="440" w:lineRule="exact"/>
              <w:jc w:val="center"/>
              <w:rPr>
                <w:sz w:val="28"/>
                <w:szCs w:val="28"/>
              </w:rPr>
            </w:pPr>
            <w:r>
              <w:rPr>
                <w:sz w:val="28"/>
                <w:szCs w:val="28"/>
              </w:rPr>
              <w:t>停土石方作业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78" w:type="dxa"/>
            <w:noWrap w:val="0"/>
            <w:vAlign w:val="center"/>
          </w:tcPr>
          <w:p>
            <w:pPr>
              <w:spacing w:line="440" w:lineRule="exact"/>
              <w:jc w:val="center"/>
              <w:rPr>
                <w:sz w:val="28"/>
                <w:szCs w:val="28"/>
              </w:rPr>
            </w:pPr>
            <w:r>
              <w:rPr>
                <w:sz w:val="28"/>
                <w:szCs w:val="28"/>
              </w:rPr>
              <w:t>道路扬尘</w:t>
            </w:r>
          </w:p>
        </w:tc>
        <w:tc>
          <w:tcPr>
            <w:tcW w:w="1695" w:type="dxa"/>
            <w:noWrap w:val="0"/>
            <w:vAlign w:val="center"/>
          </w:tcPr>
          <w:p>
            <w:pPr>
              <w:spacing w:line="440" w:lineRule="exact"/>
              <w:jc w:val="center"/>
              <w:rPr>
                <w:sz w:val="28"/>
                <w:szCs w:val="28"/>
              </w:rPr>
            </w:pPr>
            <w:r>
              <w:rPr>
                <w:sz w:val="28"/>
                <w:szCs w:val="28"/>
              </w:rPr>
              <w:t>公路</w:t>
            </w:r>
          </w:p>
        </w:tc>
        <w:tc>
          <w:tcPr>
            <w:tcW w:w="3420" w:type="dxa"/>
            <w:noWrap w:val="0"/>
            <w:vAlign w:val="center"/>
          </w:tcPr>
          <w:p>
            <w:pPr>
              <w:spacing w:line="440" w:lineRule="exact"/>
              <w:jc w:val="center"/>
              <w:rPr>
                <w:sz w:val="28"/>
                <w:szCs w:val="28"/>
              </w:rPr>
            </w:pPr>
            <w:r>
              <w:rPr>
                <w:sz w:val="28"/>
                <w:szCs w:val="28"/>
              </w:rPr>
              <w:t>增加四次洒水保洁频次,建筑垃圾和渣土运输车、混凝土罐车、砂石运输车等重型车辆禁止上路行驶</w:t>
            </w:r>
          </w:p>
        </w:tc>
        <w:tc>
          <w:tcPr>
            <w:tcW w:w="3795" w:type="dxa"/>
            <w:noWrap w:val="0"/>
            <w:vAlign w:val="center"/>
          </w:tcPr>
          <w:p>
            <w:pPr>
              <w:spacing w:line="440" w:lineRule="exact"/>
              <w:jc w:val="center"/>
              <w:rPr>
                <w:sz w:val="28"/>
                <w:szCs w:val="28"/>
              </w:rPr>
            </w:pPr>
            <w:r>
              <w:rPr>
                <w:sz w:val="28"/>
                <w:szCs w:val="28"/>
              </w:rPr>
              <w:t>增加三次洒水保洁频次,建筑垃圾和渣土运输车、混凝土罐车、砂石运输车等重型车辆禁止上路行驶</w:t>
            </w:r>
          </w:p>
        </w:tc>
        <w:tc>
          <w:tcPr>
            <w:tcW w:w="3486" w:type="dxa"/>
            <w:noWrap w:val="0"/>
            <w:vAlign w:val="center"/>
          </w:tcPr>
          <w:p>
            <w:pPr>
              <w:spacing w:line="440" w:lineRule="exact"/>
              <w:jc w:val="center"/>
              <w:rPr>
                <w:sz w:val="28"/>
                <w:szCs w:val="28"/>
              </w:rPr>
            </w:pPr>
            <w:r>
              <w:rPr>
                <w:sz w:val="28"/>
                <w:szCs w:val="28"/>
              </w:rPr>
              <w:t>增加二次洒水保洁频次,建筑垃圾和渣土运输车、混凝土罐车、砂石运输车等重型车辆禁止上路行驶</w:t>
            </w:r>
          </w:p>
        </w:tc>
      </w:tr>
    </w:tbl>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4"/>
        <w:szCs w:val="24"/>
      </w:rPr>
    </w:pPr>
    <w:r>
      <w:rPr>
        <w:rStyle w:val="7"/>
        <w:rFonts w:hint="eastAsia"/>
        <w:sz w:val="24"/>
        <w:szCs w:val="24"/>
      </w:rPr>
      <w:t xml:space="preserve">— </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r>
      <w:rPr>
        <w:rStyle w:val="7"/>
        <w:rFonts w:hint="eastAsia"/>
        <w:sz w:val="24"/>
        <w:szCs w:val="24"/>
      </w:rPr>
      <w:t xml:space="preserve"> —</w:t>
    </w:r>
  </w:p>
  <w:p>
    <w:pPr>
      <w:pStyle w:val="2"/>
      <w:ind w:right="420" w:firstLine="5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360"/>
      <w:rPr>
        <w:rStyle w:val="7"/>
      </w:rPr>
    </w:pPr>
    <w:r>
      <w:rPr>
        <w:rStyle w:val="7"/>
      </w:rPr>
      <w:fldChar w:fldCharType="begin"/>
    </w:r>
    <w:r>
      <w:rPr>
        <w:rStyle w:val="7"/>
      </w:rPr>
      <w:instrText xml:space="preserve">PAGE  </w:instrText>
    </w:r>
    <w:r>
      <w:rPr>
        <w:rStyle w:val="7"/>
      </w:rPr>
      <w:fldChar w:fldCharType="end"/>
    </w:r>
  </w:p>
  <w:p>
    <w:pPr>
      <w:pStyle w:val="2"/>
      <w:ind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61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方正仿宋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5">
    <w:name w:val="Default Paragraph Font"/>
    <w:link w:val="6"/>
    <w:semiHidden/>
    <w:uiPriority w:val="0"/>
    <w:rPr>
      <w:rFonts w:eastAsia="宋体" w:cs="Times New Roman"/>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1"/>
    <w:basedOn w:val="1"/>
    <w:link w:val="5"/>
    <w:uiPriority w:val="0"/>
    <w:rPr>
      <w:rFonts w:eastAsia="宋体" w:cs="Times New Roman"/>
    </w:rPr>
  </w:style>
  <w:style w:type="character" w:styleId="7">
    <w:name w:val="page number"/>
    <w:basedOn w:val="5"/>
    <w:uiPriority w:val="0"/>
  </w:style>
  <w:style w:type="paragraph" w:customStyle="1" w:styleId="8">
    <w:name w:val="样式6"/>
    <w:basedOn w:val="1"/>
    <w:uiPriority w:val="0"/>
    <w:pPr>
      <w:spacing w:line="580" w:lineRule="exact"/>
      <w:jc w:val="center"/>
    </w:pPr>
    <w:rPr>
      <w:rFonts w:ascii="Calibri" w:hAnsi="Calibri"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永无止境</cp:lastModifiedBy>
  <dcterms:modified xsi:type="dcterms:W3CDTF">2019-05-05T01:09:56Z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