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b/>
          <w:sz w:val="32"/>
          <w:szCs w:val="32"/>
        </w:rPr>
      </w:pPr>
    </w:p>
    <w:p>
      <w:pPr>
        <w:jc w:val="both"/>
        <w:rPr>
          <w:rFonts w:hint="eastAsia" w:ascii="方正小标宋简体" w:hAnsi="方正小标宋简体" w:eastAsia="方正小标宋简体" w:cs="方正小标宋简体"/>
          <w:sz w:val="64"/>
          <w:szCs w:val="64"/>
          <w:lang w:val="en-US" w:eastAsia="zh-CN"/>
        </w:rPr>
      </w:pPr>
    </w:p>
    <w:p>
      <w:pPr>
        <w:jc w:val="center"/>
        <w:rPr>
          <w:rFonts w:hint="eastAsia" w:ascii="方正小标宋简体" w:hAnsi="方正小标宋简体" w:eastAsia="方正小标宋简体" w:cs="方正小标宋简体"/>
          <w:sz w:val="64"/>
          <w:szCs w:val="64"/>
        </w:rPr>
      </w:pPr>
      <w:r>
        <w:rPr>
          <w:rFonts w:hint="eastAsia" w:ascii="方正小标宋简体" w:hAnsi="方正小标宋简体" w:eastAsia="方正小标宋简体" w:cs="方正小标宋简体"/>
          <w:sz w:val="64"/>
          <w:szCs w:val="64"/>
          <w:lang w:val="en-US" w:eastAsia="zh-CN"/>
        </w:rPr>
        <w:t>2015年</w:t>
      </w:r>
      <w:r>
        <w:rPr>
          <w:rFonts w:hint="eastAsia" w:ascii="方正小标宋简体" w:hAnsi="方正小标宋简体" w:eastAsia="方正小标宋简体" w:cs="方正小标宋简体"/>
          <w:sz w:val="64"/>
          <w:szCs w:val="64"/>
        </w:rPr>
        <w:t>财政</w:t>
      </w:r>
      <w:r>
        <w:rPr>
          <w:rFonts w:hint="eastAsia" w:ascii="方正小标宋简体" w:hAnsi="方正小标宋简体" w:eastAsia="方正小标宋简体" w:cs="方正小标宋简体"/>
          <w:sz w:val="64"/>
          <w:szCs w:val="64"/>
          <w:lang w:eastAsia="zh-CN"/>
        </w:rPr>
        <w:t>决</w:t>
      </w:r>
      <w:r>
        <w:rPr>
          <w:rFonts w:hint="eastAsia" w:ascii="方正小标宋简体" w:hAnsi="方正小标宋简体" w:eastAsia="方正小标宋简体" w:cs="方正小标宋简体"/>
          <w:sz w:val="64"/>
          <w:szCs w:val="64"/>
        </w:rPr>
        <w:t>算报告</w:t>
      </w:r>
    </w:p>
    <w:p>
      <w:pPr>
        <w:jc w:val="center"/>
        <w:rPr>
          <w:rFonts w:hint="eastAsia" w:ascii="方正小标宋简体" w:hAnsi="方正小标宋简体" w:eastAsia="方正小标宋简体" w:cs="方正小标宋简体"/>
          <w:sz w:val="64"/>
          <w:szCs w:val="64"/>
        </w:rPr>
      </w:pPr>
      <w:r>
        <w:rPr>
          <w:rFonts w:hint="eastAsia" w:ascii="方正小标宋简体" w:hAnsi="方正小标宋简体" w:eastAsia="方正小标宋简体" w:cs="方正小标宋简体"/>
          <w:sz w:val="64"/>
          <w:szCs w:val="64"/>
        </w:rPr>
        <w:t>相关资料及说明</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楷体_GB2312" w:hAnsi="黑体" w:eastAsia="楷体_GB2312" w:cs="黑体"/>
          <w:sz w:val="44"/>
          <w:szCs w:val="44"/>
        </w:rPr>
      </w:pPr>
      <w:r>
        <w:rPr>
          <w:rFonts w:hint="eastAsia" w:ascii="楷体_GB2312" w:hAnsi="黑体" w:eastAsia="楷体_GB2312" w:cs="黑体"/>
          <w:sz w:val="44"/>
          <w:szCs w:val="44"/>
        </w:rPr>
        <w:t>息县财政局</w:t>
      </w:r>
    </w:p>
    <w:p>
      <w:pPr>
        <w:spacing w:before="157" w:beforeLines="50"/>
        <w:jc w:val="center"/>
        <w:rPr>
          <w:rFonts w:hint="eastAsia" w:ascii="楷体_GB2312" w:hAnsi="黑体" w:eastAsia="楷体_GB2312" w:cs="黑体"/>
          <w:sz w:val="44"/>
          <w:szCs w:val="44"/>
        </w:rPr>
      </w:pPr>
      <w:r>
        <w:rPr>
          <w:rFonts w:hint="eastAsia" w:ascii="楷体_GB2312" w:hAnsi="黑体" w:eastAsia="楷体_GB2312" w:cs="黑体"/>
          <w:sz w:val="44"/>
          <w:szCs w:val="44"/>
        </w:rPr>
        <w:t>二</w:t>
      </w:r>
      <w:r>
        <w:rPr>
          <w:rFonts w:hint="eastAsia" w:ascii="楷体_GB2312" w:hAnsi="黑体" w:eastAsia="黑体" w:cs="黑体"/>
          <w:sz w:val="44"/>
          <w:szCs w:val="44"/>
        </w:rPr>
        <w:t>〇</w:t>
      </w:r>
      <w:r>
        <w:rPr>
          <w:rFonts w:hint="eastAsia" w:ascii="楷体_GB2312" w:hAnsi="黑体" w:eastAsia="楷体_GB2312" w:cs="黑体"/>
          <w:sz w:val="44"/>
          <w:szCs w:val="44"/>
        </w:rPr>
        <w:t>一六年</w:t>
      </w:r>
      <w:r>
        <w:rPr>
          <w:rFonts w:hint="eastAsia" w:ascii="楷体_GB2312" w:hAnsi="黑体" w:eastAsia="楷体_GB2312" w:cs="黑体"/>
          <w:sz w:val="44"/>
          <w:szCs w:val="44"/>
          <w:lang w:eastAsia="zh-CN"/>
        </w:rPr>
        <w:t>九</w:t>
      </w:r>
      <w:r>
        <w:rPr>
          <w:rFonts w:hint="eastAsia" w:ascii="楷体_GB2312" w:hAnsi="黑体" w:eastAsia="楷体_GB2312" w:cs="黑体"/>
          <w:sz w:val="44"/>
          <w:szCs w:val="44"/>
        </w:rPr>
        <w:t>月</w:t>
      </w:r>
    </w:p>
    <w:p>
      <w:pPr>
        <w:rPr>
          <w:rFonts w:hint="eastAsia" w:ascii="仿宋_GB2312" w:eastAsia="仿宋_GB2312"/>
          <w:b/>
          <w:sz w:val="32"/>
          <w:szCs w:val="32"/>
        </w:rPr>
      </w:pPr>
    </w:p>
    <w:p>
      <w:pPr>
        <w:rPr>
          <w:rFonts w:hint="eastAsia" w:ascii="仿宋_GB2312" w:eastAsia="仿宋_GB2312"/>
          <w:b/>
          <w:sz w:val="32"/>
          <w:szCs w:val="32"/>
        </w:rPr>
      </w:pPr>
      <w:r>
        <w:rPr>
          <w:rFonts w:hint="eastAsia" w:ascii="仿宋_GB2312" w:eastAsia="仿宋_GB2312"/>
          <w:b/>
          <w:sz w:val="32"/>
          <w:szCs w:val="32"/>
        </w:rPr>
        <w:t xml:space="preserve">附表1：  </w:t>
      </w:r>
    </w:p>
    <w:p>
      <w:pPr>
        <w:jc w:val="center"/>
        <w:rPr>
          <w:rFonts w:hint="eastAsia" w:ascii="方正小标宋简体" w:eastAsia="方正小标宋简体"/>
          <w:sz w:val="30"/>
          <w:szCs w:val="30"/>
        </w:rPr>
      </w:pPr>
      <w:r>
        <w:rPr>
          <w:rFonts w:hint="eastAsia" w:ascii="方正小标宋简体" w:eastAsia="方正小标宋简体"/>
          <w:sz w:val="32"/>
          <w:szCs w:val="32"/>
        </w:rPr>
        <w:t>2015年全县一般公共预算收入决算表</w:t>
      </w:r>
    </w:p>
    <w:p>
      <w:pPr>
        <w:rPr>
          <w:rFonts w:hint="eastAsia" w:ascii="宋体" w:hAnsi="宋体"/>
          <w:sz w:val="24"/>
        </w:rPr>
      </w:pPr>
      <w:r>
        <w:rPr>
          <w:rFonts w:hint="eastAsia" w:ascii="宋体" w:hAnsi="宋体"/>
          <w:szCs w:val="21"/>
        </w:rPr>
        <w:t xml:space="preserve">                                                                 </w:t>
      </w:r>
      <w:r>
        <w:rPr>
          <w:rFonts w:hint="eastAsia" w:ascii="宋体" w:hAnsi="宋体"/>
          <w:sz w:val="28"/>
          <w:szCs w:val="28"/>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单位：万元</w:t>
      </w:r>
    </w:p>
    <w:tbl>
      <w:tblPr>
        <w:tblStyle w:val="7"/>
        <w:tblW w:w="8740" w:type="dxa"/>
        <w:tblInd w:w="0" w:type="dxa"/>
        <w:tblLayout w:type="fixed"/>
        <w:tblCellMar>
          <w:top w:w="15" w:type="dxa"/>
          <w:left w:w="15" w:type="dxa"/>
          <w:bottom w:w="15" w:type="dxa"/>
          <w:right w:w="15" w:type="dxa"/>
        </w:tblCellMar>
      </w:tblPr>
      <w:tblGrid>
        <w:gridCol w:w="2844"/>
        <w:gridCol w:w="1452"/>
        <w:gridCol w:w="1417"/>
        <w:gridCol w:w="1442"/>
        <w:gridCol w:w="1585"/>
      </w:tblGrid>
      <w:tr>
        <w:tblPrEx>
          <w:tblLayout w:type="fixed"/>
          <w:tblCellMar>
            <w:top w:w="15" w:type="dxa"/>
            <w:left w:w="15" w:type="dxa"/>
            <w:bottom w:w="15" w:type="dxa"/>
            <w:right w:w="15" w:type="dxa"/>
          </w:tblCellMar>
        </w:tblPrEx>
        <w:trPr>
          <w:trHeight w:val="432" w:hRule="atLeast"/>
        </w:trPr>
        <w:tc>
          <w:tcPr>
            <w:tcW w:w="2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sz w:val="24"/>
              </w:rPr>
            </w:pPr>
            <w:r>
              <w:rPr>
                <w:rFonts w:hint="eastAsia" w:ascii="仿宋_GB2312" w:hAnsi="仿宋_GB2312" w:eastAsia="仿宋_GB2312" w:cs="仿宋_GB2312"/>
                <w:b/>
                <w:kern w:val="0"/>
                <w:sz w:val="24"/>
              </w:rPr>
              <w:t>预算科目</w:t>
            </w:r>
          </w:p>
        </w:tc>
        <w:tc>
          <w:tcPr>
            <w:tcW w:w="1452"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sz w:val="24"/>
              </w:rPr>
            </w:pPr>
            <w:r>
              <w:rPr>
                <w:rFonts w:hint="eastAsia" w:ascii="仿宋_GB2312" w:hAnsi="仿宋_GB2312" w:eastAsia="仿宋_GB2312" w:cs="仿宋_GB2312"/>
                <w:b/>
                <w:kern w:val="0"/>
                <w:sz w:val="24"/>
              </w:rPr>
              <w:t>预算数</w:t>
            </w:r>
          </w:p>
        </w:tc>
        <w:tc>
          <w:tcPr>
            <w:tcW w:w="1417"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sz w:val="24"/>
              </w:rPr>
            </w:pPr>
            <w:r>
              <w:rPr>
                <w:rFonts w:hint="eastAsia" w:ascii="仿宋_GB2312" w:hAnsi="仿宋_GB2312" w:eastAsia="仿宋_GB2312" w:cs="仿宋_GB2312"/>
                <w:b/>
                <w:kern w:val="0"/>
                <w:sz w:val="24"/>
              </w:rPr>
              <w:t>决算数</w:t>
            </w:r>
          </w:p>
        </w:tc>
        <w:tc>
          <w:tcPr>
            <w:tcW w:w="1442"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sz w:val="24"/>
              </w:rPr>
            </w:pPr>
            <w:r>
              <w:rPr>
                <w:rFonts w:hint="eastAsia" w:ascii="仿宋_GB2312" w:hAnsi="仿宋_GB2312" w:eastAsia="仿宋_GB2312" w:cs="仿宋_GB2312"/>
                <w:b/>
                <w:kern w:val="0"/>
                <w:sz w:val="24"/>
              </w:rPr>
              <w:t>为预算数的</w:t>
            </w:r>
            <w:r>
              <w:rPr>
                <w:rStyle w:val="9"/>
                <w:rFonts w:hint="eastAsia" w:ascii="仿宋_GB2312" w:hAnsi="仿宋_GB2312" w:eastAsia="仿宋_GB2312" w:cs="仿宋_GB2312"/>
                <w:color w:val="auto"/>
              </w:rPr>
              <w:t>%</w:t>
            </w:r>
          </w:p>
        </w:tc>
        <w:tc>
          <w:tcPr>
            <w:tcW w:w="1585"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sz w:val="24"/>
              </w:rPr>
            </w:pPr>
            <w:r>
              <w:rPr>
                <w:rFonts w:hint="eastAsia" w:ascii="仿宋_GB2312" w:hAnsi="仿宋_GB2312" w:eastAsia="仿宋_GB2312" w:cs="仿宋_GB2312"/>
                <w:b/>
                <w:kern w:val="0"/>
                <w:sz w:val="24"/>
              </w:rPr>
              <w:t>比上年增长</w:t>
            </w:r>
            <w:r>
              <w:rPr>
                <w:rStyle w:val="9"/>
                <w:rFonts w:hint="eastAsia" w:ascii="仿宋_GB2312" w:hAnsi="仿宋_GB2312" w:eastAsia="仿宋_GB2312" w:cs="仿宋_GB2312"/>
                <w:color w:val="auto"/>
              </w:rPr>
              <w:t>%</w:t>
            </w:r>
          </w:p>
        </w:tc>
      </w:tr>
      <w:tr>
        <w:tblPrEx>
          <w:tblLayout w:type="fixed"/>
          <w:tblCellMar>
            <w:top w:w="15" w:type="dxa"/>
            <w:left w:w="15" w:type="dxa"/>
            <w:bottom w:w="15" w:type="dxa"/>
            <w:right w:w="15" w:type="dxa"/>
          </w:tblCellMar>
        </w:tblPrEx>
        <w:trPr>
          <w:trHeight w:val="432" w:hRule="atLeast"/>
        </w:trPr>
        <w:tc>
          <w:tcPr>
            <w:tcW w:w="2844" w:type="dxa"/>
            <w:tcBorders>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sz w:val="24"/>
              </w:rPr>
            </w:pPr>
            <w:r>
              <w:rPr>
                <w:rFonts w:hint="eastAsia" w:ascii="仿宋_GB2312" w:hAnsi="仿宋_GB2312" w:eastAsia="仿宋_GB2312" w:cs="仿宋_GB2312"/>
                <w:b/>
                <w:kern w:val="0"/>
                <w:sz w:val="24"/>
              </w:rPr>
              <w:t>税收收入</w:t>
            </w:r>
          </w:p>
        </w:tc>
        <w:tc>
          <w:tcPr>
            <w:tcW w:w="1452" w:type="dxa"/>
            <w:tcBorders>
              <w:right w:val="single" w:color="000000" w:sz="4" w:space="0"/>
            </w:tcBorders>
            <w:vAlign w:val="center"/>
          </w:tcPr>
          <w:p>
            <w:pPr>
              <w:widowControl/>
              <w:jc w:val="center"/>
              <w:textAlignment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30150</w:t>
            </w:r>
          </w:p>
        </w:tc>
        <w:tc>
          <w:tcPr>
            <w:tcW w:w="1417" w:type="dxa"/>
            <w:tcBorders>
              <w:right w:val="single" w:color="000000" w:sz="4" w:space="0"/>
            </w:tcBorders>
            <w:vAlign w:val="center"/>
          </w:tcPr>
          <w:p>
            <w:pPr>
              <w:widowControl/>
              <w:jc w:val="center"/>
              <w:textAlignment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30012</w:t>
            </w:r>
          </w:p>
        </w:tc>
        <w:tc>
          <w:tcPr>
            <w:tcW w:w="1442" w:type="dxa"/>
            <w:tcBorders>
              <w:right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99.54</w:t>
            </w:r>
            <w:r>
              <w:rPr>
                <w:rFonts w:hint="eastAsia" w:ascii="仿宋_GB2312" w:hAnsi="仿宋_GB2312" w:eastAsia="仿宋_GB2312" w:cs="仿宋_GB2312"/>
                <w:sz w:val="24"/>
              </w:rPr>
              <w:t>%</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15.47</w:t>
            </w:r>
            <w:r>
              <w:rPr>
                <w:rFonts w:hint="eastAsia" w:ascii="仿宋_GB2312" w:hAnsi="仿宋_GB2312" w:eastAsia="仿宋_GB2312" w:cs="仿宋_GB2312"/>
                <w:sz w:val="22"/>
                <w:szCs w:val="22"/>
              </w:rPr>
              <w:t>%</w:t>
            </w:r>
          </w:p>
        </w:tc>
      </w:tr>
      <w:tr>
        <w:tblPrEx>
          <w:tblLayout w:type="fixed"/>
          <w:tblCellMar>
            <w:top w:w="15" w:type="dxa"/>
            <w:left w:w="15" w:type="dxa"/>
            <w:bottom w:w="15" w:type="dxa"/>
            <w:right w:w="15" w:type="dxa"/>
          </w:tblCellMar>
        </w:tblPrEx>
        <w:trPr>
          <w:trHeight w:val="432" w:hRule="atLeast"/>
        </w:trPr>
        <w:tc>
          <w:tcPr>
            <w:tcW w:w="2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增值税</w:t>
            </w: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1984</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1854</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93.45%</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6.43%</w:t>
            </w:r>
          </w:p>
        </w:tc>
      </w:tr>
      <w:tr>
        <w:tblPrEx>
          <w:tblLayout w:type="fixed"/>
          <w:tblCellMar>
            <w:top w:w="15" w:type="dxa"/>
            <w:left w:w="15" w:type="dxa"/>
            <w:bottom w:w="15" w:type="dxa"/>
            <w:right w:w="15" w:type="dxa"/>
          </w:tblCellMar>
        </w:tblPrEx>
        <w:trPr>
          <w:trHeight w:val="432" w:hRule="atLeast"/>
        </w:trPr>
        <w:tc>
          <w:tcPr>
            <w:tcW w:w="2844"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营业税</w:t>
            </w:r>
          </w:p>
        </w:tc>
        <w:tc>
          <w:tcPr>
            <w:tcW w:w="1452"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12556</w:t>
            </w:r>
          </w:p>
        </w:tc>
        <w:tc>
          <w:tcPr>
            <w:tcW w:w="1417"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12699</w:t>
            </w:r>
          </w:p>
        </w:tc>
        <w:tc>
          <w:tcPr>
            <w:tcW w:w="1442"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bCs/>
                <w:sz w:val="24"/>
                <w:lang w:val="en-US" w:eastAsia="zh-CN"/>
              </w:rPr>
              <w:t>101.14</w:t>
            </w:r>
            <w:r>
              <w:rPr>
                <w:rFonts w:hint="eastAsia" w:ascii="仿宋_GB2312" w:hAnsi="仿宋_GB2312" w:eastAsia="仿宋_GB2312" w:cs="仿宋_GB2312"/>
                <w:bCs/>
                <w:sz w:val="24"/>
              </w:rPr>
              <w:t>%</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lang w:val="en-US" w:eastAsia="zh-CN"/>
              </w:rPr>
              <w:t>18.27</w:t>
            </w:r>
            <w:r>
              <w:rPr>
                <w:rFonts w:hint="eastAsia" w:ascii="仿宋_GB2312" w:hAnsi="仿宋_GB2312" w:eastAsia="仿宋_GB2312" w:cs="仿宋_GB2312"/>
                <w:bCs/>
                <w:sz w:val="22"/>
                <w:szCs w:val="22"/>
              </w:rPr>
              <w:t>%</w:t>
            </w:r>
          </w:p>
        </w:tc>
      </w:tr>
      <w:tr>
        <w:tblPrEx>
          <w:tblLayout w:type="fixed"/>
          <w:tblCellMar>
            <w:top w:w="15" w:type="dxa"/>
            <w:left w:w="15" w:type="dxa"/>
            <w:bottom w:w="15" w:type="dxa"/>
            <w:right w:w="15" w:type="dxa"/>
          </w:tblCellMar>
        </w:tblPrEx>
        <w:trPr>
          <w:trHeight w:val="432" w:hRule="atLeast"/>
        </w:trPr>
        <w:tc>
          <w:tcPr>
            <w:tcW w:w="2844"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企业所得税</w:t>
            </w:r>
          </w:p>
        </w:tc>
        <w:tc>
          <w:tcPr>
            <w:tcW w:w="1452"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2110</w:t>
            </w:r>
          </w:p>
        </w:tc>
        <w:tc>
          <w:tcPr>
            <w:tcW w:w="1417"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2429</w:t>
            </w:r>
          </w:p>
        </w:tc>
        <w:tc>
          <w:tcPr>
            <w:tcW w:w="1442"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bCs/>
                <w:sz w:val="24"/>
                <w:lang w:val="en-US" w:eastAsia="zh-CN"/>
              </w:rPr>
              <w:t>115.12</w:t>
            </w:r>
            <w:r>
              <w:rPr>
                <w:rFonts w:hint="eastAsia" w:ascii="仿宋_GB2312" w:hAnsi="仿宋_GB2312" w:eastAsia="仿宋_GB2312" w:cs="仿宋_GB2312"/>
                <w:bCs/>
                <w:sz w:val="24"/>
              </w:rPr>
              <w:t>%</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lang w:val="en-US" w:eastAsia="zh-CN"/>
              </w:rPr>
              <w:t>29.48</w:t>
            </w:r>
            <w:r>
              <w:rPr>
                <w:rFonts w:hint="eastAsia" w:ascii="仿宋_GB2312" w:hAnsi="仿宋_GB2312" w:eastAsia="仿宋_GB2312" w:cs="仿宋_GB2312"/>
                <w:bCs/>
                <w:sz w:val="22"/>
                <w:szCs w:val="22"/>
              </w:rPr>
              <w:t>%</w:t>
            </w:r>
          </w:p>
        </w:tc>
      </w:tr>
      <w:tr>
        <w:tblPrEx>
          <w:tblLayout w:type="fixed"/>
          <w:tblCellMar>
            <w:top w:w="15" w:type="dxa"/>
            <w:left w:w="15" w:type="dxa"/>
            <w:bottom w:w="15" w:type="dxa"/>
            <w:right w:w="15" w:type="dxa"/>
          </w:tblCellMar>
        </w:tblPrEx>
        <w:trPr>
          <w:trHeight w:val="432" w:hRule="atLeast"/>
        </w:trPr>
        <w:tc>
          <w:tcPr>
            <w:tcW w:w="2844"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个人所得税</w:t>
            </w:r>
          </w:p>
        </w:tc>
        <w:tc>
          <w:tcPr>
            <w:tcW w:w="1452"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655</w:t>
            </w:r>
          </w:p>
        </w:tc>
        <w:tc>
          <w:tcPr>
            <w:tcW w:w="1417"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674</w:t>
            </w:r>
          </w:p>
        </w:tc>
        <w:tc>
          <w:tcPr>
            <w:tcW w:w="1442"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bCs/>
                <w:sz w:val="24"/>
                <w:lang w:val="en-US" w:eastAsia="zh-CN"/>
              </w:rPr>
              <w:t>102.90</w:t>
            </w:r>
            <w:r>
              <w:rPr>
                <w:rFonts w:hint="eastAsia" w:ascii="仿宋_GB2312" w:hAnsi="仿宋_GB2312" w:eastAsia="仿宋_GB2312" w:cs="仿宋_GB2312"/>
                <w:bCs/>
                <w:sz w:val="24"/>
              </w:rPr>
              <w:t>%</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lang w:val="en-US" w:eastAsia="zh-CN"/>
              </w:rPr>
              <w:t>19.08</w:t>
            </w:r>
            <w:r>
              <w:rPr>
                <w:rFonts w:hint="eastAsia" w:ascii="仿宋_GB2312" w:hAnsi="仿宋_GB2312" w:eastAsia="仿宋_GB2312" w:cs="仿宋_GB2312"/>
                <w:bCs/>
                <w:sz w:val="22"/>
                <w:szCs w:val="22"/>
              </w:rPr>
              <w:t>%</w:t>
            </w:r>
          </w:p>
        </w:tc>
      </w:tr>
      <w:tr>
        <w:tblPrEx>
          <w:tblLayout w:type="fixed"/>
          <w:tblCellMar>
            <w:top w:w="15" w:type="dxa"/>
            <w:left w:w="15" w:type="dxa"/>
            <w:bottom w:w="15" w:type="dxa"/>
            <w:right w:w="15" w:type="dxa"/>
          </w:tblCellMar>
        </w:tblPrEx>
        <w:trPr>
          <w:trHeight w:val="432" w:hRule="atLeast"/>
        </w:trPr>
        <w:tc>
          <w:tcPr>
            <w:tcW w:w="2844"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资源税</w:t>
            </w:r>
          </w:p>
        </w:tc>
        <w:tc>
          <w:tcPr>
            <w:tcW w:w="1452"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1394</w:t>
            </w:r>
          </w:p>
        </w:tc>
        <w:tc>
          <w:tcPr>
            <w:tcW w:w="1417"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800</w:t>
            </w:r>
          </w:p>
        </w:tc>
        <w:tc>
          <w:tcPr>
            <w:tcW w:w="1442"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bCs/>
                <w:sz w:val="24"/>
                <w:lang w:val="en-US" w:eastAsia="zh-CN"/>
              </w:rPr>
              <w:t>57.39</w:t>
            </w:r>
            <w:r>
              <w:rPr>
                <w:rFonts w:hint="eastAsia" w:ascii="仿宋_GB2312" w:hAnsi="仿宋_GB2312" w:eastAsia="仿宋_GB2312" w:cs="仿宋_GB2312"/>
                <w:bCs/>
                <w:sz w:val="24"/>
              </w:rPr>
              <w:t>%</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lang w:val="en-US" w:eastAsia="zh-CN"/>
              </w:rPr>
              <w:t>-33.44</w:t>
            </w:r>
            <w:r>
              <w:rPr>
                <w:rFonts w:hint="eastAsia" w:ascii="仿宋_GB2312" w:hAnsi="仿宋_GB2312" w:eastAsia="仿宋_GB2312" w:cs="仿宋_GB2312"/>
                <w:bCs/>
                <w:sz w:val="22"/>
                <w:szCs w:val="22"/>
              </w:rPr>
              <w:t>%</w:t>
            </w:r>
          </w:p>
        </w:tc>
      </w:tr>
      <w:tr>
        <w:tblPrEx>
          <w:tblLayout w:type="fixed"/>
          <w:tblCellMar>
            <w:top w:w="15" w:type="dxa"/>
            <w:left w:w="15" w:type="dxa"/>
            <w:bottom w:w="15" w:type="dxa"/>
            <w:right w:w="15" w:type="dxa"/>
          </w:tblCellMar>
        </w:tblPrEx>
        <w:trPr>
          <w:trHeight w:val="432" w:hRule="atLeast"/>
        </w:trPr>
        <w:tc>
          <w:tcPr>
            <w:tcW w:w="2844"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城市维护建设税</w:t>
            </w:r>
          </w:p>
        </w:tc>
        <w:tc>
          <w:tcPr>
            <w:tcW w:w="1452"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831</w:t>
            </w:r>
          </w:p>
        </w:tc>
        <w:tc>
          <w:tcPr>
            <w:tcW w:w="1417"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849</w:t>
            </w:r>
          </w:p>
        </w:tc>
        <w:tc>
          <w:tcPr>
            <w:tcW w:w="1442"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bCs/>
                <w:sz w:val="24"/>
                <w:lang w:val="en-US" w:eastAsia="zh-CN"/>
              </w:rPr>
              <w:t>102.17</w:t>
            </w:r>
            <w:r>
              <w:rPr>
                <w:rFonts w:hint="eastAsia" w:ascii="仿宋_GB2312" w:hAnsi="仿宋_GB2312" w:eastAsia="仿宋_GB2312" w:cs="仿宋_GB2312"/>
                <w:bCs/>
                <w:sz w:val="24"/>
              </w:rPr>
              <w:t>%</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lang w:val="en-US" w:eastAsia="zh-CN"/>
              </w:rPr>
              <w:t>18.74</w:t>
            </w:r>
            <w:r>
              <w:rPr>
                <w:rFonts w:hint="eastAsia" w:ascii="仿宋_GB2312" w:hAnsi="仿宋_GB2312" w:eastAsia="仿宋_GB2312" w:cs="仿宋_GB2312"/>
                <w:bCs/>
                <w:sz w:val="22"/>
                <w:szCs w:val="22"/>
              </w:rPr>
              <w:t>%</w:t>
            </w:r>
          </w:p>
        </w:tc>
      </w:tr>
      <w:tr>
        <w:tblPrEx>
          <w:tblLayout w:type="fixed"/>
          <w:tblCellMar>
            <w:top w:w="15" w:type="dxa"/>
            <w:left w:w="15" w:type="dxa"/>
            <w:bottom w:w="15" w:type="dxa"/>
            <w:right w:w="15" w:type="dxa"/>
          </w:tblCellMar>
        </w:tblPrEx>
        <w:trPr>
          <w:trHeight w:val="432" w:hRule="atLeast"/>
        </w:trPr>
        <w:tc>
          <w:tcPr>
            <w:tcW w:w="2844"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房产税</w:t>
            </w:r>
          </w:p>
        </w:tc>
        <w:tc>
          <w:tcPr>
            <w:tcW w:w="1452"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246</w:t>
            </w:r>
          </w:p>
        </w:tc>
        <w:tc>
          <w:tcPr>
            <w:tcW w:w="1417"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278</w:t>
            </w:r>
          </w:p>
        </w:tc>
        <w:tc>
          <w:tcPr>
            <w:tcW w:w="1442"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bCs/>
                <w:sz w:val="24"/>
                <w:lang w:val="en-US" w:eastAsia="zh-CN"/>
              </w:rPr>
              <w:t>113.01</w:t>
            </w:r>
            <w:r>
              <w:rPr>
                <w:rFonts w:hint="eastAsia" w:ascii="仿宋_GB2312" w:hAnsi="仿宋_GB2312" w:eastAsia="仿宋_GB2312" w:cs="仿宋_GB2312"/>
                <w:bCs/>
                <w:sz w:val="24"/>
              </w:rPr>
              <w:t>%</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ascii="仿宋_GB2312" w:hAnsi="仿宋_GB2312" w:eastAsia="仿宋_GB2312" w:cs="仿宋_GB2312"/>
                <w:bCs/>
                <w:sz w:val="22"/>
                <w:szCs w:val="22"/>
                <w:lang w:eastAsia="zh-CN"/>
              </w:rPr>
            </w:pPr>
            <w:r>
              <w:rPr>
                <w:rFonts w:hint="eastAsia" w:ascii="仿宋_GB2312" w:hAnsi="仿宋_GB2312" w:eastAsia="仿宋_GB2312" w:cs="仿宋_GB2312"/>
                <w:bCs/>
                <w:sz w:val="22"/>
                <w:szCs w:val="22"/>
                <w:lang w:val="en-US" w:eastAsia="zh-CN"/>
              </w:rPr>
              <w:t>31.13%</w:t>
            </w:r>
          </w:p>
        </w:tc>
      </w:tr>
      <w:tr>
        <w:tblPrEx>
          <w:tblLayout w:type="fixed"/>
          <w:tblCellMar>
            <w:top w:w="15" w:type="dxa"/>
            <w:left w:w="15" w:type="dxa"/>
            <w:bottom w:w="15" w:type="dxa"/>
            <w:right w:w="15" w:type="dxa"/>
          </w:tblCellMar>
        </w:tblPrEx>
        <w:trPr>
          <w:trHeight w:val="432" w:hRule="atLeast"/>
        </w:trPr>
        <w:tc>
          <w:tcPr>
            <w:tcW w:w="2844"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印花税</w:t>
            </w:r>
          </w:p>
        </w:tc>
        <w:tc>
          <w:tcPr>
            <w:tcW w:w="1452"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139</w:t>
            </w:r>
          </w:p>
        </w:tc>
        <w:tc>
          <w:tcPr>
            <w:tcW w:w="1417"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bCs/>
                <w:sz w:val="24"/>
              </w:rPr>
              <w:t>1</w:t>
            </w:r>
            <w:r>
              <w:rPr>
                <w:rFonts w:hint="eastAsia" w:ascii="仿宋_GB2312" w:hAnsi="仿宋_GB2312" w:eastAsia="仿宋_GB2312" w:cs="仿宋_GB2312"/>
                <w:bCs/>
                <w:sz w:val="24"/>
                <w:lang w:val="en-US" w:eastAsia="zh-CN"/>
              </w:rPr>
              <w:t>44</w:t>
            </w:r>
          </w:p>
        </w:tc>
        <w:tc>
          <w:tcPr>
            <w:tcW w:w="1442"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bCs/>
                <w:sz w:val="24"/>
                <w:lang w:val="en-US" w:eastAsia="zh-CN"/>
              </w:rPr>
              <w:t>103.59</w:t>
            </w:r>
            <w:r>
              <w:rPr>
                <w:rFonts w:hint="eastAsia" w:ascii="仿宋_GB2312" w:hAnsi="仿宋_GB2312" w:eastAsia="仿宋_GB2312" w:cs="仿宋_GB2312"/>
                <w:bCs/>
                <w:sz w:val="24"/>
              </w:rPr>
              <w:t>%</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lang w:val="en-US" w:eastAsia="zh-CN"/>
              </w:rPr>
              <w:t>20</w:t>
            </w:r>
            <w:r>
              <w:rPr>
                <w:rFonts w:hint="eastAsia" w:ascii="仿宋_GB2312" w:hAnsi="仿宋_GB2312" w:eastAsia="仿宋_GB2312" w:cs="仿宋_GB2312"/>
                <w:bCs/>
                <w:sz w:val="22"/>
                <w:szCs w:val="22"/>
              </w:rPr>
              <w:t>%</w:t>
            </w:r>
          </w:p>
        </w:tc>
      </w:tr>
      <w:tr>
        <w:tblPrEx>
          <w:tblLayout w:type="fixed"/>
          <w:tblCellMar>
            <w:top w:w="15" w:type="dxa"/>
            <w:left w:w="15" w:type="dxa"/>
            <w:bottom w:w="15" w:type="dxa"/>
            <w:right w:w="15" w:type="dxa"/>
          </w:tblCellMar>
        </w:tblPrEx>
        <w:trPr>
          <w:trHeight w:val="432" w:hRule="atLeast"/>
        </w:trPr>
        <w:tc>
          <w:tcPr>
            <w:tcW w:w="2844"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城镇土地使用税</w:t>
            </w:r>
          </w:p>
        </w:tc>
        <w:tc>
          <w:tcPr>
            <w:tcW w:w="1452"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462</w:t>
            </w:r>
          </w:p>
        </w:tc>
        <w:tc>
          <w:tcPr>
            <w:tcW w:w="1417"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265</w:t>
            </w:r>
          </w:p>
        </w:tc>
        <w:tc>
          <w:tcPr>
            <w:tcW w:w="1442"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bCs/>
                <w:sz w:val="24"/>
                <w:lang w:val="en-US" w:eastAsia="zh-CN"/>
              </w:rPr>
              <w:t>57.36</w:t>
            </w:r>
            <w:r>
              <w:rPr>
                <w:rFonts w:hint="eastAsia" w:ascii="仿宋_GB2312" w:hAnsi="仿宋_GB2312" w:eastAsia="仿宋_GB2312" w:cs="仿宋_GB2312"/>
                <w:bCs/>
                <w:sz w:val="24"/>
              </w:rPr>
              <w:t>%</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lang w:val="en-US" w:eastAsia="zh-CN"/>
              </w:rPr>
              <w:t>-33.42</w:t>
            </w:r>
            <w:r>
              <w:rPr>
                <w:rFonts w:hint="eastAsia" w:ascii="仿宋_GB2312" w:hAnsi="仿宋_GB2312" w:eastAsia="仿宋_GB2312" w:cs="仿宋_GB2312"/>
                <w:bCs/>
                <w:sz w:val="22"/>
                <w:szCs w:val="22"/>
              </w:rPr>
              <w:t>%</w:t>
            </w:r>
          </w:p>
        </w:tc>
      </w:tr>
      <w:tr>
        <w:tblPrEx>
          <w:tblLayout w:type="fixed"/>
          <w:tblCellMar>
            <w:top w:w="15" w:type="dxa"/>
            <w:left w:w="15" w:type="dxa"/>
            <w:bottom w:w="15" w:type="dxa"/>
            <w:right w:w="15" w:type="dxa"/>
          </w:tblCellMar>
        </w:tblPrEx>
        <w:trPr>
          <w:trHeight w:val="432" w:hRule="atLeast"/>
        </w:trPr>
        <w:tc>
          <w:tcPr>
            <w:tcW w:w="2844"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土地增值税</w:t>
            </w:r>
          </w:p>
        </w:tc>
        <w:tc>
          <w:tcPr>
            <w:tcW w:w="1452"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1382</w:t>
            </w:r>
          </w:p>
        </w:tc>
        <w:tc>
          <w:tcPr>
            <w:tcW w:w="1417"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1772</w:t>
            </w:r>
          </w:p>
        </w:tc>
        <w:tc>
          <w:tcPr>
            <w:tcW w:w="1442"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bCs/>
                <w:sz w:val="24"/>
                <w:lang w:val="en-US" w:eastAsia="zh-CN"/>
              </w:rPr>
              <w:t>128.22</w:t>
            </w:r>
            <w:r>
              <w:rPr>
                <w:rFonts w:hint="eastAsia" w:ascii="仿宋_GB2312" w:hAnsi="仿宋_GB2312" w:eastAsia="仿宋_GB2312" w:cs="仿宋_GB2312"/>
                <w:bCs/>
                <w:sz w:val="24"/>
              </w:rPr>
              <w:t>%</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lang w:val="en-US" w:eastAsia="zh-CN"/>
              </w:rPr>
              <w:t>48.78</w:t>
            </w:r>
            <w:r>
              <w:rPr>
                <w:rFonts w:hint="eastAsia" w:ascii="仿宋_GB2312" w:hAnsi="仿宋_GB2312" w:eastAsia="仿宋_GB2312" w:cs="仿宋_GB2312"/>
                <w:bCs/>
                <w:sz w:val="22"/>
                <w:szCs w:val="22"/>
              </w:rPr>
              <w:t>%</w:t>
            </w:r>
          </w:p>
        </w:tc>
      </w:tr>
      <w:tr>
        <w:tblPrEx>
          <w:tblLayout w:type="fixed"/>
          <w:tblCellMar>
            <w:top w:w="15" w:type="dxa"/>
            <w:left w:w="15" w:type="dxa"/>
            <w:bottom w:w="15" w:type="dxa"/>
            <w:right w:w="15" w:type="dxa"/>
          </w:tblCellMar>
        </w:tblPrEx>
        <w:trPr>
          <w:trHeight w:val="432" w:hRule="atLeast"/>
        </w:trPr>
        <w:tc>
          <w:tcPr>
            <w:tcW w:w="2844"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车船税</w:t>
            </w:r>
          </w:p>
        </w:tc>
        <w:tc>
          <w:tcPr>
            <w:tcW w:w="1452"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398</w:t>
            </w:r>
          </w:p>
        </w:tc>
        <w:tc>
          <w:tcPr>
            <w:tcW w:w="1417"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381</w:t>
            </w:r>
          </w:p>
        </w:tc>
        <w:tc>
          <w:tcPr>
            <w:tcW w:w="1442"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bCs/>
                <w:sz w:val="24"/>
                <w:lang w:val="en-US" w:eastAsia="zh-CN"/>
              </w:rPr>
              <w:t>95.73</w:t>
            </w:r>
            <w:r>
              <w:rPr>
                <w:rFonts w:hint="eastAsia" w:ascii="仿宋_GB2312" w:hAnsi="仿宋_GB2312" w:eastAsia="仿宋_GB2312" w:cs="仿宋_GB2312"/>
                <w:bCs/>
                <w:sz w:val="24"/>
              </w:rPr>
              <w:t>%</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lang w:val="en-US" w:eastAsia="zh-CN"/>
              </w:rPr>
              <w:t>11.40</w:t>
            </w:r>
            <w:r>
              <w:rPr>
                <w:rFonts w:hint="eastAsia" w:ascii="仿宋_GB2312" w:hAnsi="仿宋_GB2312" w:eastAsia="仿宋_GB2312" w:cs="仿宋_GB2312"/>
                <w:bCs/>
                <w:sz w:val="22"/>
                <w:szCs w:val="22"/>
              </w:rPr>
              <w:t>%</w:t>
            </w:r>
          </w:p>
        </w:tc>
      </w:tr>
      <w:tr>
        <w:tblPrEx>
          <w:tblLayout w:type="fixed"/>
          <w:tblCellMar>
            <w:top w:w="15" w:type="dxa"/>
            <w:left w:w="15" w:type="dxa"/>
            <w:bottom w:w="15" w:type="dxa"/>
            <w:right w:w="15" w:type="dxa"/>
          </w:tblCellMar>
        </w:tblPrEx>
        <w:trPr>
          <w:trHeight w:val="432" w:hRule="atLeast"/>
        </w:trPr>
        <w:tc>
          <w:tcPr>
            <w:tcW w:w="2844"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耕地占用税</w:t>
            </w:r>
          </w:p>
        </w:tc>
        <w:tc>
          <w:tcPr>
            <w:tcW w:w="1452"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2996</w:t>
            </w:r>
          </w:p>
        </w:tc>
        <w:tc>
          <w:tcPr>
            <w:tcW w:w="1417"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2221</w:t>
            </w:r>
          </w:p>
        </w:tc>
        <w:tc>
          <w:tcPr>
            <w:tcW w:w="1442"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bCs/>
                <w:sz w:val="24"/>
                <w:lang w:val="en-US" w:eastAsia="zh-CN"/>
              </w:rPr>
              <w:t>74.13</w:t>
            </w:r>
            <w:r>
              <w:rPr>
                <w:rFonts w:hint="eastAsia" w:ascii="仿宋_GB2312" w:hAnsi="仿宋_GB2312" w:eastAsia="仿宋_GB2312" w:cs="仿宋_GB2312"/>
                <w:bCs/>
                <w:sz w:val="24"/>
              </w:rPr>
              <w:t>%</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lang w:val="en-US" w:eastAsia="zh-CN"/>
              </w:rPr>
              <w:t>-13.98</w:t>
            </w:r>
            <w:r>
              <w:rPr>
                <w:rFonts w:hint="eastAsia" w:ascii="仿宋_GB2312" w:hAnsi="仿宋_GB2312" w:eastAsia="仿宋_GB2312" w:cs="仿宋_GB2312"/>
                <w:bCs/>
                <w:sz w:val="22"/>
                <w:szCs w:val="22"/>
              </w:rPr>
              <w:t>%</w:t>
            </w:r>
          </w:p>
        </w:tc>
      </w:tr>
      <w:tr>
        <w:tblPrEx>
          <w:tblLayout w:type="fixed"/>
          <w:tblCellMar>
            <w:top w:w="15" w:type="dxa"/>
            <w:left w:w="15" w:type="dxa"/>
            <w:bottom w:w="15" w:type="dxa"/>
            <w:right w:w="15" w:type="dxa"/>
          </w:tblCellMar>
        </w:tblPrEx>
        <w:trPr>
          <w:trHeight w:val="432" w:hRule="atLeast"/>
        </w:trPr>
        <w:tc>
          <w:tcPr>
            <w:tcW w:w="2844"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契税</w:t>
            </w:r>
          </w:p>
        </w:tc>
        <w:tc>
          <w:tcPr>
            <w:tcW w:w="1452"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4997</w:t>
            </w:r>
          </w:p>
        </w:tc>
        <w:tc>
          <w:tcPr>
            <w:tcW w:w="1417"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5646</w:t>
            </w:r>
          </w:p>
        </w:tc>
        <w:tc>
          <w:tcPr>
            <w:tcW w:w="1442"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bCs/>
                <w:sz w:val="24"/>
                <w:lang w:val="en-US" w:eastAsia="zh-CN"/>
              </w:rPr>
              <w:t>112.99</w:t>
            </w:r>
            <w:r>
              <w:rPr>
                <w:rFonts w:hint="eastAsia" w:ascii="仿宋_GB2312" w:hAnsi="仿宋_GB2312" w:eastAsia="仿宋_GB2312" w:cs="仿宋_GB2312"/>
                <w:bCs/>
                <w:sz w:val="24"/>
              </w:rPr>
              <w:t>%</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lang w:val="en-US" w:eastAsia="zh-CN"/>
              </w:rPr>
              <w:t>31.06</w:t>
            </w:r>
            <w:r>
              <w:rPr>
                <w:rFonts w:hint="eastAsia" w:ascii="仿宋_GB2312" w:hAnsi="仿宋_GB2312" w:eastAsia="仿宋_GB2312" w:cs="仿宋_GB2312"/>
                <w:bCs/>
                <w:sz w:val="22"/>
                <w:szCs w:val="22"/>
              </w:rPr>
              <w:t>%</w:t>
            </w:r>
          </w:p>
        </w:tc>
      </w:tr>
      <w:tr>
        <w:tblPrEx>
          <w:tblLayout w:type="fixed"/>
          <w:tblCellMar>
            <w:top w:w="15" w:type="dxa"/>
            <w:left w:w="15" w:type="dxa"/>
            <w:bottom w:w="15" w:type="dxa"/>
            <w:right w:w="15" w:type="dxa"/>
          </w:tblCellMar>
        </w:tblPrEx>
        <w:trPr>
          <w:trHeight w:val="432" w:hRule="atLeast"/>
        </w:trPr>
        <w:tc>
          <w:tcPr>
            <w:tcW w:w="2844"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sz w:val="24"/>
              </w:rPr>
            </w:pPr>
            <w:r>
              <w:rPr>
                <w:rFonts w:hint="eastAsia" w:ascii="仿宋_GB2312" w:hAnsi="仿宋_GB2312" w:eastAsia="仿宋_GB2312" w:cs="仿宋_GB2312"/>
                <w:b/>
                <w:kern w:val="0"/>
                <w:sz w:val="24"/>
              </w:rPr>
              <w:t>非税收入</w:t>
            </w:r>
          </w:p>
        </w:tc>
        <w:tc>
          <w:tcPr>
            <w:tcW w:w="1452"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1845</w:t>
            </w:r>
          </w:p>
        </w:tc>
        <w:tc>
          <w:tcPr>
            <w:tcW w:w="1417"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11</w:t>
            </w:r>
            <w:r>
              <w:rPr>
                <w:rFonts w:hint="eastAsia" w:ascii="仿宋_GB2312" w:hAnsi="仿宋_GB2312" w:eastAsia="仿宋_GB2312" w:cs="仿宋_GB2312"/>
                <w:sz w:val="24"/>
                <w:lang w:val="en-US" w:eastAsia="zh-CN"/>
              </w:rPr>
              <w:t>988</w:t>
            </w:r>
          </w:p>
        </w:tc>
        <w:tc>
          <w:tcPr>
            <w:tcW w:w="1442" w:type="dxa"/>
            <w:tcBorders>
              <w:bottom w:val="single" w:color="000000" w:sz="4" w:space="0"/>
              <w:right w:val="single" w:color="000000"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101.18</w:t>
            </w:r>
            <w:r>
              <w:rPr>
                <w:rFonts w:hint="eastAsia" w:ascii="仿宋_GB2312" w:hAnsi="仿宋_GB2312" w:eastAsia="仿宋_GB2312" w:cs="仿宋_GB2312"/>
                <w:sz w:val="24"/>
              </w:rPr>
              <w:t>%</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8.89</w:t>
            </w:r>
            <w:r>
              <w:rPr>
                <w:rFonts w:hint="eastAsia" w:ascii="仿宋_GB2312" w:hAnsi="仿宋_GB2312" w:eastAsia="仿宋_GB2312" w:cs="仿宋_GB2312"/>
                <w:sz w:val="22"/>
                <w:szCs w:val="22"/>
              </w:rPr>
              <w:t>%</w:t>
            </w:r>
          </w:p>
        </w:tc>
      </w:tr>
      <w:tr>
        <w:tblPrEx>
          <w:tblLayout w:type="fixed"/>
          <w:tblCellMar>
            <w:top w:w="15" w:type="dxa"/>
            <w:left w:w="15" w:type="dxa"/>
            <w:bottom w:w="15" w:type="dxa"/>
            <w:right w:w="15" w:type="dxa"/>
          </w:tblCellMar>
        </w:tblPrEx>
        <w:trPr>
          <w:trHeight w:val="432" w:hRule="atLeast"/>
        </w:trPr>
        <w:tc>
          <w:tcPr>
            <w:tcW w:w="2844"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专项收入</w:t>
            </w:r>
          </w:p>
        </w:tc>
        <w:tc>
          <w:tcPr>
            <w:tcW w:w="1452" w:type="dxa"/>
            <w:tcBorders>
              <w:bottom w:val="single" w:color="000000" w:sz="4" w:space="0"/>
              <w:right w:val="single" w:color="000000" w:sz="4" w:space="0"/>
            </w:tcBorders>
            <w:vAlign w:val="center"/>
          </w:tcPr>
          <w:p>
            <w:pPr>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863</w:t>
            </w:r>
          </w:p>
        </w:tc>
        <w:tc>
          <w:tcPr>
            <w:tcW w:w="1417"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1024</w:t>
            </w:r>
          </w:p>
        </w:tc>
        <w:tc>
          <w:tcPr>
            <w:tcW w:w="1442" w:type="dxa"/>
            <w:tcBorders>
              <w:bottom w:val="single" w:color="000000" w:sz="4" w:space="0"/>
              <w:right w:val="single" w:color="000000" w:sz="4" w:space="0"/>
            </w:tcBorders>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sz w:val="24"/>
                <w:lang w:val="en-US" w:eastAsia="zh-CN"/>
              </w:rPr>
              <w:t>118.66</w:t>
            </w:r>
            <w:r>
              <w:rPr>
                <w:rFonts w:hint="eastAsia" w:ascii="仿宋_GB2312" w:hAnsi="仿宋_GB2312" w:eastAsia="仿宋_GB2312" w:cs="仿宋_GB2312"/>
                <w:sz w:val="24"/>
              </w:rPr>
              <w:t>%</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lang w:val="en-US" w:eastAsia="zh-CN"/>
              </w:rPr>
              <w:t>28.16</w:t>
            </w:r>
            <w:r>
              <w:rPr>
                <w:rFonts w:hint="eastAsia" w:ascii="仿宋_GB2312" w:hAnsi="仿宋_GB2312" w:eastAsia="仿宋_GB2312" w:cs="仿宋_GB2312"/>
                <w:bCs/>
                <w:sz w:val="22"/>
                <w:szCs w:val="22"/>
              </w:rPr>
              <w:t>%</w:t>
            </w:r>
          </w:p>
        </w:tc>
      </w:tr>
      <w:tr>
        <w:tblPrEx>
          <w:tblLayout w:type="fixed"/>
          <w:tblCellMar>
            <w:top w:w="15" w:type="dxa"/>
            <w:left w:w="15" w:type="dxa"/>
            <w:bottom w:w="15" w:type="dxa"/>
            <w:right w:w="15" w:type="dxa"/>
          </w:tblCellMar>
        </w:tblPrEx>
        <w:trPr>
          <w:trHeight w:val="432" w:hRule="atLeast"/>
        </w:trPr>
        <w:tc>
          <w:tcPr>
            <w:tcW w:w="2844"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行政事业性收费收入</w:t>
            </w:r>
          </w:p>
        </w:tc>
        <w:tc>
          <w:tcPr>
            <w:tcW w:w="1452" w:type="dxa"/>
            <w:tcBorders>
              <w:bottom w:val="single" w:color="000000" w:sz="4" w:space="0"/>
              <w:right w:val="single" w:color="000000" w:sz="4" w:space="0"/>
            </w:tcBorders>
            <w:vAlign w:val="center"/>
          </w:tcPr>
          <w:p>
            <w:pPr>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7949</w:t>
            </w:r>
          </w:p>
        </w:tc>
        <w:tc>
          <w:tcPr>
            <w:tcW w:w="1417"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6325</w:t>
            </w:r>
          </w:p>
        </w:tc>
        <w:tc>
          <w:tcPr>
            <w:tcW w:w="1442" w:type="dxa"/>
            <w:tcBorders>
              <w:bottom w:val="single" w:color="000000" w:sz="4" w:space="0"/>
              <w:right w:val="single" w:color="000000" w:sz="4" w:space="0"/>
            </w:tcBorders>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lang w:val="en-US" w:eastAsia="zh-CN"/>
              </w:rPr>
              <w:t>79.57</w:t>
            </w:r>
            <w:r>
              <w:rPr>
                <w:rFonts w:hint="eastAsia" w:ascii="仿宋_GB2312" w:hAnsi="仿宋_GB2312" w:eastAsia="仿宋_GB2312" w:cs="仿宋_GB2312"/>
                <w:bCs/>
                <w:sz w:val="24"/>
              </w:rPr>
              <w:t>%</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lang w:val="en-US" w:eastAsia="zh-CN"/>
              </w:rPr>
              <w:t>48.61</w:t>
            </w:r>
            <w:r>
              <w:rPr>
                <w:rFonts w:hint="eastAsia" w:ascii="仿宋_GB2312" w:hAnsi="仿宋_GB2312" w:eastAsia="仿宋_GB2312" w:cs="仿宋_GB2312"/>
                <w:bCs/>
                <w:sz w:val="22"/>
                <w:szCs w:val="22"/>
              </w:rPr>
              <w:t>%</w:t>
            </w:r>
          </w:p>
        </w:tc>
      </w:tr>
      <w:tr>
        <w:tblPrEx>
          <w:tblLayout w:type="fixed"/>
          <w:tblCellMar>
            <w:top w:w="15" w:type="dxa"/>
            <w:left w:w="15" w:type="dxa"/>
            <w:bottom w:w="15" w:type="dxa"/>
            <w:right w:w="15" w:type="dxa"/>
          </w:tblCellMar>
        </w:tblPrEx>
        <w:trPr>
          <w:trHeight w:val="432" w:hRule="atLeast"/>
        </w:trPr>
        <w:tc>
          <w:tcPr>
            <w:tcW w:w="2844"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罚没收入</w:t>
            </w:r>
          </w:p>
        </w:tc>
        <w:tc>
          <w:tcPr>
            <w:tcW w:w="1452" w:type="dxa"/>
            <w:tcBorders>
              <w:bottom w:val="single" w:color="000000" w:sz="4" w:space="0"/>
              <w:right w:val="single" w:color="000000" w:sz="4" w:space="0"/>
            </w:tcBorders>
            <w:vAlign w:val="center"/>
          </w:tcPr>
          <w:p>
            <w:pPr>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3033</w:t>
            </w:r>
          </w:p>
        </w:tc>
        <w:tc>
          <w:tcPr>
            <w:tcW w:w="1417"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3832</w:t>
            </w:r>
          </w:p>
        </w:tc>
        <w:tc>
          <w:tcPr>
            <w:tcW w:w="1442" w:type="dxa"/>
            <w:tcBorders>
              <w:bottom w:val="single" w:color="000000" w:sz="4" w:space="0"/>
              <w:right w:val="single" w:color="000000" w:sz="4" w:space="0"/>
            </w:tcBorders>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lang w:val="en-US" w:eastAsia="zh-CN"/>
              </w:rPr>
              <w:t>126.34</w:t>
            </w:r>
            <w:r>
              <w:rPr>
                <w:rFonts w:hint="eastAsia" w:ascii="仿宋_GB2312" w:hAnsi="仿宋_GB2312" w:eastAsia="仿宋_GB2312" w:cs="仿宋_GB2312"/>
                <w:bCs/>
                <w:sz w:val="24"/>
              </w:rPr>
              <w:t>%</w:t>
            </w: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lang w:val="en-US" w:eastAsia="zh-CN"/>
              </w:rPr>
              <w:t>-24.19</w:t>
            </w:r>
            <w:r>
              <w:rPr>
                <w:rFonts w:hint="eastAsia" w:ascii="仿宋_GB2312" w:hAnsi="仿宋_GB2312" w:eastAsia="仿宋_GB2312" w:cs="仿宋_GB2312"/>
                <w:bCs/>
                <w:sz w:val="22"/>
                <w:szCs w:val="22"/>
              </w:rPr>
              <w:t>%</w:t>
            </w:r>
          </w:p>
        </w:tc>
      </w:tr>
      <w:tr>
        <w:tblPrEx>
          <w:tblLayout w:type="fixed"/>
          <w:tblCellMar>
            <w:top w:w="15" w:type="dxa"/>
            <w:left w:w="15" w:type="dxa"/>
            <w:bottom w:w="15" w:type="dxa"/>
            <w:right w:w="15" w:type="dxa"/>
          </w:tblCellMar>
        </w:tblPrEx>
        <w:trPr>
          <w:trHeight w:val="432" w:hRule="atLeast"/>
        </w:trPr>
        <w:tc>
          <w:tcPr>
            <w:tcW w:w="2844"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国有资本经营收入</w:t>
            </w:r>
          </w:p>
        </w:tc>
        <w:tc>
          <w:tcPr>
            <w:tcW w:w="1452" w:type="dxa"/>
            <w:tcBorders>
              <w:bottom w:val="single" w:color="000000" w:sz="4" w:space="0"/>
              <w:right w:val="single" w:color="000000" w:sz="4" w:space="0"/>
            </w:tcBorders>
            <w:vAlign w:val="center"/>
          </w:tcPr>
          <w:p>
            <w:pPr>
              <w:jc w:val="center"/>
              <w:rPr>
                <w:rFonts w:hint="eastAsia" w:ascii="仿宋_GB2312" w:hAnsi="仿宋_GB2312" w:eastAsia="仿宋_GB2312" w:cs="仿宋_GB2312"/>
                <w:bCs/>
                <w:sz w:val="24"/>
              </w:rPr>
            </w:pPr>
          </w:p>
        </w:tc>
        <w:tc>
          <w:tcPr>
            <w:tcW w:w="1417"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807</w:t>
            </w:r>
          </w:p>
        </w:tc>
        <w:tc>
          <w:tcPr>
            <w:tcW w:w="1442" w:type="dxa"/>
            <w:tcBorders>
              <w:bottom w:val="single" w:color="000000" w:sz="4" w:space="0"/>
              <w:right w:val="single" w:color="000000" w:sz="4" w:space="0"/>
            </w:tcBorders>
            <w:vAlign w:val="center"/>
          </w:tcPr>
          <w:p>
            <w:pPr>
              <w:jc w:val="center"/>
              <w:rPr>
                <w:rFonts w:hint="eastAsia" w:ascii="仿宋_GB2312" w:hAnsi="仿宋_GB2312" w:eastAsia="仿宋_GB2312" w:cs="仿宋_GB2312"/>
                <w:bCs/>
                <w:sz w:val="24"/>
              </w:rPr>
            </w:pP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ascii="仿宋_GB2312" w:hAnsi="仿宋_GB2312" w:eastAsia="仿宋_GB2312" w:cs="仿宋_GB2312"/>
                <w:bCs/>
                <w:sz w:val="22"/>
                <w:szCs w:val="22"/>
              </w:rPr>
            </w:pPr>
          </w:p>
        </w:tc>
      </w:tr>
      <w:tr>
        <w:tblPrEx>
          <w:tblLayout w:type="fixed"/>
          <w:tblCellMar>
            <w:top w:w="15" w:type="dxa"/>
            <w:left w:w="15" w:type="dxa"/>
            <w:bottom w:w="15" w:type="dxa"/>
            <w:right w:w="15" w:type="dxa"/>
          </w:tblCellMar>
        </w:tblPrEx>
        <w:trPr>
          <w:trHeight w:val="432" w:hRule="atLeast"/>
        </w:trPr>
        <w:tc>
          <w:tcPr>
            <w:tcW w:w="2844"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国有资源</w:t>
            </w:r>
            <w:r>
              <w:rPr>
                <w:rStyle w:val="10"/>
                <w:rFonts w:hint="eastAsia" w:ascii="仿宋_GB2312" w:hAnsi="仿宋_GB2312" w:eastAsia="仿宋_GB2312" w:cs="仿宋_GB2312"/>
                <w:color w:val="auto"/>
              </w:rPr>
              <w:t>(</w:t>
            </w:r>
            <w:r>
              <w:rPr>
                <w:rStyle w:val="11"/>
                <w:rFonts w:hint="eastAsia" w:hAnsi="仿宋_GB2312"/>
                <w:color w:val="auto"/>
              </w:rPr>
              <w:t>资产</w:t>
            </w:r>
            <w:r>
              <w:rPr>
                <w:rStyle w:val="10"/>
                <w:rFonts w:hint="eastAsia" w:ascii="仿宋_GB2312" w:hAnsi="仿宋_GB2312" w:eastAsia="仿宋_GB2312" w:cs="仿宋_GB2312"/>
                <w:color w:val="auto"/>
              </w:rPr>
              <w:t>)</w:t>
            </w:r>
            <w:r>
              <w:rPr>
                <w:rStyle w:val="11"/>
                <w:rFonts w:hint="eastAsia" w:hAnsi="仿宋_GB2312"/>
                <w:color w:val="auto"/>
              </w:rPr>
              <w:t>有偿使用</w:t>
            </w:r>
          </w:p>
        </w:tc>
        <w:tc>
          <w:tcPr>
            <w:tcW w:w="1452" w:type="dxa"/>
            <w:tcBorders>
              <w:bottom w:val="single" w:color="000000" w:sz="4" w:space="0"/>
              <w:right w:val="single" w:color="000000" w:sz="4" w:space="0"/>
            </w:tcBorders>
            <w:vAlign w:val="center"/>
          </w:tcPr>
          <w:p>
            <w:pPr>
              <w:jc w:val="center"/>
              <w:rPr>
                <w:rFonts w:hint="eastAsia" w:ascii="仿宋_GB2312" w:hAnsi="仿宋_GB2312" w:eastAsia="仿宋_GB2312" w:cs="仿宋_GB2312"/>
                <w:bCs/>
                <w:sz w:val="24"/>
              </w:rPr>
            </w:pPr>
          </w:p>
        </w:tc>
        <w:tc>
          <w:tcPr>
            <w:tcW w:w="1417"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Cs/>
                <w:sz w:val="24"/>
              </w:rPr>
            </w:pPr>
          </w:p>
        </w:tc>
        <w:tc>
          <w:tcPr>
            <w:tcW w:w="1442" w:type="dxa"/>
            <w:tcBorders>
              <w:bottom w:val="single" w:color="000000" w:sz="4" w:space="0"/>
              <w:right w:val="single" w:color="000000" w:sz="4" w:space="0"/>
            </w:tcBorders>
            <w:vAlign w:val="center"/>
          </w:tcPr>
          <w:p>
            <w:pPr>
              <w:jc w:val="center"/>
              <w:rPr>
                <w:rFonts w:hint="eastAsia" w:ascii="仿宋_GB2312" w:hAnsi="仿宋_GB2312" w:eastAsia="仿宋_GB2312" w:cs="仿宋_GB2312"/>
                <w:bCs/>
                <w:sz w:val="24"/>
              </w:rPr>
            </w:pPr>
          </w:p>
        </w:tc>
        <w:tc>
          <w:tcPr>
            <w:tcW w:w="1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ascii="仿宋_GB2312" w:hAnsi="仿宋_GB2312" w:eastAsia="仿宋_GB2312" w:cs="仿宋_GB2312"/>
                <w:bCs/>
                <w:sz w:val="22"/>
                <w:szCs w:val="22"/>
              </w:rPr>
            </w:pPr>
          </w:p>
        </w:tc>
      </w:tr>
      <w:tr>
        <w:tblPrEx>
          <w:tblLayout w:type="fixed"/>
          <w:tblCellMar>
            <w:top w:w="15" w:type="dxa"/>
            <w:left w:w="15" w:type="dxa"/>
            <w:bottom w:w="15" w:type="dxa"/>
            <w:right w:w="15" w:type="dxa"/>
          </w:tblCellMar>
        </w:tblPrEx>
        <w:trPr>
          <w:trHeight w:val="432" w:hRule="atLeast"/>
        </w:trPr>
        <w:tc>
          <w:tcPr>
            <w:tcW w:w="2844"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其他收入</w:t>
            </w:r>
          </w:p>
        </w:tc>
        <w:tc>
          <w:tcPr>
            <w:tcW w:w="1452" w:type="dxa"/>
            <w:tcBorders>
              <w:bottom w:val="single" w:color="000000" w:sz="4" w:space="0"/>
              <w:right w:val="single" w:color="000000" w:sz="4" w:space="0"/>
            </w:tcBorders>
            <w:vAlign w:val="center"/>
          </w:tcPr>
          <w:p>
            <w:pPr>
              <w:jc w:val="center"/>
              <w:rPr>
                <w:rFonts w:hint="eastAsia" w:ascii="仿宋_GB2312" w:hAnsi="仿宋_GB2312" w:eastAsia="仿宋_GB2312" w:cs="仿宋_GB2312"/>
                <w:sz w:val="24"/>
              </w:rPr>
            </w:pPr>
          </w:p>
        </w:tc>
        <w:tc>
          <w:tcPr>
            <w:tcW w:w="1417"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rPr>
            </w:pPr>
          </w:p>
        </w:tc>
        <w:tc>
          <w:tcPr>
            <w:tcW w:w="1442" w:type="dxa"/>
            <w:tcBorders>
              <w:bottom w:val="single" w:color="000000" w:sz="4" w:space="0"/>
              <w:right w:val="single" w:color="000000" w:sz="4" w:space="0"/>
            </w:tcBorders>
            <w:vAlign w:val="center"/>
          </w:tcPr>
          <w:p>
            <w:pPr>
              <w:jc w:val="center"/>
              <w:rPr>
                <w:rFonts w:hint="eastAsia" w:ascii="仿宋_GB2312" w:hAnsi="仿宋_GB2312" w:eastAsia="仿宋_GB2312" w:cs="仿宋_GB2312"/>
                <w:sz w:val="24"/>
              </w:rPr>
            </w:pPr>
          </w:p>
        </w:tc>
        <w:tc>
          <w:tcPr>
            <w:tcW w:w="1585" w:type="dxa"/>
            <w:tcBorders>
              <w:bottom w:val="single" w:color="000000" w:sz="4" w:space="0"/>
              <w:right w:val="single" w:color="000000" w:sz="4" w:space="0"/>
            </w:tcBorders>
            <w:vAlign w:val="center"/>
          </w:tcPr>
          <w:p>
            <w:pPr>
              <w:jc w:val="center"/>
              <w:rPr>
                <w:rFonts w:hint="eastAsia" w:ascii="仿宋_GB2312" w:hAnsi="仿宋_GB2312" w:eastAsia="仿宋_GB2312" w:cs="仿宋_GB2312"/>
                <w:sz w:val="24"/>
              </w:rPr>
            </w:pPr>
          </w:p>
        </w:tc>
      </w:tr>
      <w:tr>
        <w:tblPrEx>
          <w:tblLayout w:type="fixed"/>
          <w:tblCellMar>
            <w:top w:w="15" w:type="dxa"/>
            <w:left w:w="15" w:type="dxa"/>
            <w:bottom w:w="15" w:type="dxa"/>
            <w:right w:w="15" w:type="dxa"/>
          </w:tblCellMar>
        </w:tblPrEx>
        <w:trPr>
          <w:trHeight w:val="444" w:hRule="atLeast"/>
        </w:trPr>
        <w:tc>
          <w:tcPr>
            <w:tcW w:w="2844"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sz w:val="24"/>
              </w:rPr>
            </w:pPr>
            <w:r>
              <w:rPr>
                <w:rFonts w:hint="eastAsia" w:ascii="仿宋_GB2312" w:hAnsi="仿宋_GB2312" w:eastAsia="仿宋_GB2312" w:cs="仿宋_GB2312"/>
                <w:b/>
                <w:kern w:val="0"/>
                <w:sz w:val="24"/>
              </w:rPr>
              <w:t>合</w:t>
            </w:r>
            <w:r>
              <w:rPr>
                <w:rStyle w:val="9"/>
                <w:rFonts w:hint="eastAsia" w:ascii="仿宋_GB2312" w:hAnsi="仿宋_GB2312" w:eastAsia="仿宋_GB2312" w:cs="仿宋_GB2312"/>
                <w:color w:val="auto"/>
              </w:rPr>
              <w:t xml:space="preserve">       </w:t>
            </w:r>
            <w:r>
              <w:rPr>
                <w:rStyle w:val="12"/>
                <w:rFonts w:hint="default" w:hAnsi="仿宋_GB2312"/>
                <w:color w:val="auto"/>
              </w:rPr>
              <w:t>计</w:t>
            </w:r>
          </w:p>
        </w:tc>
        <w:tc>
          <w:tcPr>
            <w:tcW w:w="1452"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41995</w:t>
            </w:r>
          </w:p>
        </w:tc>
        <w:tc>
          <w:tcPr>
            <w:tcW w:w="1417"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42000</w:t>
            </w:r>
          </w:p>
        </w:tc>
        <w:tc>
          <w:tcPr>
            <w:tcW w:w="1442"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100.01</w:t>
            </w:r>
            <w:r>
              <w:rPr>
                <w:rFonts w:hint="eastAsia" w:ascii="仿宋_GB2312" w:hAnsi="仿宋_GB2312" w:eastAsia="仿宋_GB2312" w:cs="仿宋_GB2312"/>
                <w:sz w:val="24"/>
              </w:rPr>
              <w:t>%</w:t>
            </w:r>
          </w:p>
        </w:tc>
        <w:tc>
          <w:tcPr>
            <w:tcW w:w="1585" w:type="dxa"/>
            <w:tcBorders>
              <w:bottom w:val="single" w:color="000000" w:sz="4" w:space="0"/>
              <w:right w:val="single" w:color="000000"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135.14</w:t>
            </w:r>
            <w:r>
              <w:rPr>
                <w:rFonts w:hint="eastAsia" w:ascii="仿宋_GB2312" w:hAnsi="仿宋_GB2312" w:eastAsia="仿宋_GB2312" w:cs="仿宋_GB2312"/>
                <w:sz w:val="24"/>
              </w:rPr>
              <w:t>%</w:t>
            </w:r>
          </w:p>
        </w:tc>
      </w:tr>
    </w:tbl>
    <w:p>
      <w:pPr>
        <w:adjustRightInd w:val="0"/>
        <w:snapToGrid w:val="0"/>
        <w:spacing w:line="500" w:lineRule="atLeast"/>
        <w:rPr>
          <w:rFonts w:hint="eastAsia" w:ascii="仿宋_GB2312" w:hAnsi="仿宋" w:eastAsia="仿宋_GB2312"/>
          <w:b/>
          <w:sz w:val="32"/>
          <w:szCs w:val="32"/>
        </w:rPr>
      </w:pPr>
    </w:p>
    <w:p>
      <w:pPr>
        <w:adjustRightInd w:val="0"/>
        <w:snapToGrid w:val="0"/>
        <w:spacing w:line="500" w:lineRule="atLeast"/>
        <w:rPr>
          <w:rFonts w:hint="eastAsia" w:ascii="仿宋_GB2312" w:hAnsi="仿宋" w:eastAsia="仿宋_GB2312"/>
          <w:b/>
          <w:sz w:val="32"/>
          <w:szCs w:val="32"/>
        </w:rPr>
      </w:pPr>
    </w:p>
    <w:p>
      <w:pPr>
        <w:adjustRightInd w:val="0"/>
        <w:snapToGrid w:val="0"/>
        <w:spacing w:line="500" w:lineRule="atLeast"/>
        <w:rPr>
          <w:rFonts w:hint="eastAsia" w:ascii="仿宋_GB2312" w:hAnsi="仿宋" w:eastAsia="仿宋_GB2312"/>
          <w:b/>
          <w:sz w:val="32"/>
          <w:szCs w:val="32"/>
        </w:rPr>
      </w:pPr>
      <w:r>
        <w:rPr>
          <w:rFonts w:hint="eastAsia" w:ascii="仿宋_GB2312" w:hAnsi="仿宋" w:eastAsia="仿宋_GB2312"/>
          <w:b/>
          <w:sz w:val="32"/>
          <w:szCs w:val="32"/>
        </w:rPr>
        <w:t>附表2：</w:t>
      </w:r>
    </w:p>
    <w:p>
      <w:pPr>
        <w:adjustRightInd w:val="0"/>
        <w:snapToGrid w:val="0"/>
        <w:spacing w:line="500" w:lineRule="atLeast"/>
        <w:jc w:val="center"/>
        <w:rPr>
          <w:rFonts w:hint="eastAsia" w:ascii="方正小标宋简体" w:eastAsia="方正小标宋简体"/>
          <w:sz w:val="30"/>
          <w:szCs w:val="30"/>
        </w:rPr>
      </w:pPr>
      <w:r>
        <w:rPr>
          <w:rFonts w:hint="eastAsia" w:ascii="方正小标宋简体" w:eastAsia="方正小标宋简体"/>
          <w:bCs/>
          <w:sz w:val="32"/>
          <w:szCs w:val="32"/>
        </w:rPr>
        <w:t>2015年全县一般公共预算支出决算表（按功能分类）</w:t>
      </w:r>
    </w:p>
    <w:p>
      <w:pPr>
        <w:jc w:val="center"/>
        <w:rPr>
          <w:rFonts w:hint="eastAsia" w:ascii="仿宋_GB2312" w:hAnsi="宋体" w:eastAsia="仿宋_GB2312" w:cs="宋体"/>
          <w:sz w:val="24"/>
        </w:rPr>
      </w:pPr>
      <w:r>
        <w:rPr>
          <w:rFonts w:hint="eastAsia"/>
        </w:rPr>
        <w:t xml:space="preserve">                                                         </w:t>
      </w: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 xml:space="preserve"> </w:t>
      </w:r>
      <w:r>
        <w:rPr>
          <w:rFonts w:hint="eastAsia" w:ascii="仿宋_GB2312" w:hAnsi="仿宋" w:eastAsia="仿宋_GB2312" w:cs="仿宋"/>
          <w:sz w:val="24"/>
        </w:rPr>
        <w:t>单位：万元</w:t>
      </w:r>
    </w:p>
    <w:tbl>
      <w:tblPr>
        <w:tblStyle w:val="7"/>
        <w:tblpPr w:leftFromText="180" w:rightFromText="180" w:vertAnchor="text" w:horzAnchor="page" w:tblpX="1614" w:tblpY="137"/>
        <w:tblOverlap w:val="never"/>
        <w:tblW w:w="8988" w:type="dxa"/>
        <w:tblInd w:w="0" w:type="dxa"/>
        <w:tblLayout w:type="fixed"/>
        <w:tblCellMar>
          <w:top w:w="0" w:type="dxa"/>
          <w:left w:w="108" w:type="dxa"/>
          <w:bottom w:w="0" w:type="dxa"/>
          <w:right w:w="108" w:type="dxa"/>
        </w:tblCellMar>
      </w:tblPr>
      <w:tblGrid>
        <w:gridCol w:w="2858"/>
        <w:gridCol w:w="1275"/>
        <w:gridCol w:w="1320"/>
        <w:gridCol w:w="1605"/>
        <w:gridCol w:w="1930"/>
      </w:tblGrid>
      <w:tr>
        <w:tblPrEx>
          <w:tblLayout w:type="fixed"/>
          <w:tblCellMar>
            <w:top w:w="0" w:type="dxa"/>
            <w:left w:w="108" w:type="dxa"/>
            <w:bottom w:w="0" w:type="dxa"/>
            <w:right w:w="108" w:type="dxa"/>
          </w:tblCellMar>
        </w:tblPrEx>
        <w:trPr>
          <w:trHeight w:val="470" w:hRule="atLeast"/>
        </w:trPr>
        <w:tc>
          <w:tcPr>
            <w:tcW w:w="28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仿宋"/>
                <w:b/>
                <w:bCs/>
                <w:kern w:val="0"/>
                <w:sz w:val="24"/>
              </w:rPr>
            </w:pPr>
            <w:r>
              <w:rPr>
                <w:rFonts w:hint="eastAsia" w:ascii="仿宋_GB2312" w:hAnsi="仿宋" w:eastAsia="仿宋_GB2312" w:cs="仿宋"/>
                <w:b/>
                <w:bCs/>
                <w:kern w:val="0"/>
                <w:sz w:val="24"/>
              </w:rPr>
              <w:t>预算科目</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仿宋"/>
                <w:b/>
                <w:bCs/>
                <w:kern w:val="0"/>
                <w:sz w:val="24"/>
              </w:rPr>
            </w:pPr>
            <w:r>
              <w:rPr>
                <w:rFonts w:hint="eastAsia" w:ascii="仿宋_GB2312" w:hAnsi="仿宋" w:eastAsia="仿宋_GB2312" w:cs="仿宋"/>
                <w:b/>
                <w:bCs/>
                <w:kern w:val="0"/>
                <w:sz w:val="24"/>
              </w:rPr>
              <w:t>预算数</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仿宋"/>
                <w:b/>
                <w:bCs/>
                <w:kern w:val="0"/>
                <w:sz w:val="24"/>
              </w:rPr>
            </w:pPr>
            <w:r>
              <w:rPr>
                <w:rFonts w:hint="eastAsia" w:ascii="仿宋_GB2312" w:hAnsi="仿宋" w:eastAsia="仿宋_GB2312" w:cs="仿宋"/>
                <w:b/>
                <w:bCs/>
                <w:kern w:val="0"/>
                <w:sz w:val="24"/>
              </w:rPr>
              <w:t>决算数</w:t>
            </w:r>
          </w:p>
        </w:tc>
        <w:tc>
          <w:tcPr>
            <w:tcW w:w="160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仿宋"/>
                <w:b/>
                <w:bCs/>
                <w:kern w:val="0"/>
                <w:sz w:val="24"/>
                <w:lang w:val="en-US" w:eastAsia="zh-CN"/>
              </w:rPr>
            </w:pPr>
            <w:r>
              <w:rPr>
                <w:rFonts w:hint="eastAsia" w:ascii="仿宋_GB2312" w:hAnsi="仿宋" w:eastAsia="仿宋_GB2312" w:cs="仿宋"/>
                <w:b/>
                <w:bCs/>
                <w:kern w:val="0"/>
                <w:sz w:val="24"/>
                <w:lang w:val="en-US" w:eastAsia="zh-CN"/>
              </w:rPr>
              <w:t>为预算数的%</w:t>
            </w:r>
          </w:p>
        </w:tc>
        <w:tc>
          <w:tcPr>
            <w:tcW w:w="193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仿宋"/>
                <w:b/>
                <w:bCs/>
                <w:kern w:val="0"/>
                <w:sz w:val="24"/>
              </w:rPr>
            </w:pPr>
            <w:r>
              <w:rPr>
                <w:rFonts w:hint="eastAsia" w:ascii="仿宋_GB2312" w:hAnsi="仿宋" w:eastAsia="仿宋_GB2312" w:cs="仿宋"/>
                <w:b/>
                <w:bCs/>
                <w:kern w:val="0"/>
                <w:sz w:val="24"/>
              </w:rPr>
              <w:t>比上年增长%</w:t>
            </w:r>
          </w:p>
        </w:tc>
      </w:tr>
      <w:tr>
        <w:tblPrEx>
          <w:tblLayout w:type="fixed"/>
          <w:tblCellMar>
            <w:top w:w="0" w:type="dxa"/>
            <w:left w:w="108" w:type="dxa"/>
            <w:bottom w:w="0" w:type="dxa"/>
            <w:right w:w="108" w:type="dxa"/>
          </w:tblCellMar>
        </w:tblPrEx>
        <w:trPr>
          <w:trHeight w:val="357" w:hRule="atLeast"/>
        </w:trPr>
        <w:tc>
          <w:tcPr>
            <w:tcW w:w="285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bookmarkStart w:id="0" w:name="OLE_LINK1" w:colFirst="4" w:colLast="4"/>
            <w:r>
              <w:rPr>
                <w:rFonts w:hint="eastAsia" w:ascii="仿宋_GB2312" w:hAnsi="仿宋" w:eastAsia="仿宋_GB2312" w:cs="仿宋"/>
                <w:kern w:val="0"/>
                <w:sz w:val="24"/>
              </w:rPr>
              <w:t>一般公共服务</w:t>
            </w:r>
          </w:p>
        </w:tc>
        <w:tc>
          <w:tcPr>
            <w:tcW w:w="127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23510</w:t>
            </w:r>
          </w:p>
        </w:tc>
        <w:tc>
          <w:tcPr>
            <w:tcW w:w="132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95745</w:t>
            </w:r>
          </w:p>
        </w:tc>
        <w:tc>
          <w:tcPr>
            <w:tcW w:w="160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lang w:val="en-US" w:eastAsia="zh-CN"/>
              </w:rPr>
              <w:t>380.94</w:t>
            </w:r>
            <w:r>
              <w:rPr>
                <w:rFonts w:hint="eastAsia" w:ascii="仿宋_GB2312" w:hAnsi="仿宋" w:eastAsia="仿宋_GB2312" w:cs="仿宋"/>
                <w:kern w:val="0"/>
                <w:sz w:val="24"/>
              </w:rPr>
              <w:t>%</w:t>
            </w:r>
          </w:p>
        </w:tc>
        <w:tc>
          <w:tcPr>
            <w:tcW w:w="193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lang w:val="en-US" w:eastAsia="zh-CN"/>
              </w:rPr>
              <w:t>0.32</w:t>
            </w:r>
            <w:r>
              <w:rPr>
                <w:rFonts w:hint="eastAsia" w:ascii="仿宋_GB2312" w:hAnsi="仿宋" w:eastAsia="仿宋_GB2312" w:cs="仿宋"/>
                <w:kern w:val="0"/>
                <w:sz w:val="24"/>
              </w:rPr>
              <w:t>%</w:t>
            </w:r>
          </w:p>
        </w:tc>
      </w:tr>
      <w:tr>
        <w:tblPrEx>
          <w:tblLayout w:type="fixed"/>
          <w:tblCellMar>
            <w:top w:w="0" w:type="dxa"/>
            <w:left w:w="108" w:type="dxa"/>
            <w:bottom w:w="0" w:type="dxa"/>
            <w:right w:w="108" w:type="dxa"/>
          </w:tblCellMar>
        </w:tblPrEx>
        <w:trPr>
          <w:trHeight w:val="324" w:hRule="atLeast"/>
        </w:trPr>
        <w:tc>
          <w:tcPr>
            <w:tcW w:w="285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公共安全</w:t>
            </w:r>
          </w:p>
        </w:tc>
        <w:tc>
          <w:tcPr>
            <w:tcW w:w="127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7076</w:t>
            </w:r>
          </w:p>
        </w:tc>
        <w:tc>
          <w:tcPr>
            <w:tcW w:w="132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lang w:val="en-US" w:eastAsia="zh-CN"/>
              </w:rPr>
            </w:pPr>
            <w:r>
              <w:rPr>
                <w:rFonts w:hint="eastAsia" w:ascii="仿宋_GB2312" w:hAnsi="仿宋" w:eastAsia="仿宋_GB2312" w:cs="仿宋"/>
                <w:kern w:val="0"/>
                <w:sz w:val="24"/>
                <w:lang w:val="en-US" w:eastAsia="zh-CN"/>
              </w:rPr>
              <w:t>5052</w:t>
            </w:r>
          </w:p>
        </w:tc>
        <w:tc>
          <w:tcPr>
            <w:tcW w:w="160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lang w:val="en-US" w:eastAsia="zh-CN"/>
              </w:rPr>
              <w:t>71.39</w:t>
            </w:r>
            <w:r>
              <w:rPr>
                <w:rFonts w:hint="eastAsia" w:ascii="仿宋_GB2312" w:hAnsi="仿宋" w:eastAsia="仿宋_GB2312" w:cs="仿宋"/>
                <w:kern w:val="0"/>
                <w:sz w:val="24"/>
              </w:rPr>
              <w:t>%</w:t>
            </w:r>
          </w:p>
        </w:tc>
        <w:tc>
          <w:tcPr>
            <w:tcW w:w="193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lang w:val="en-US" w:eastAsia="zh-CN"/>
              </w:rPr>
              <w:t>2.54</w:t>
            </w:r>
            <w:r>
              <w:rPr>
                <w:rFonts w:hint="eastAsia" w:ascii="仿宋_GB2312" w:hAnsi="仿宋" w:eastAsia="仿宋_GB2312" w:cs="仿宋"/>
                <w:kern w:val="0"/>
                <w:sz w:val="24"/>
              </w:rPr>
              <w:t>%</w:t>
            </w:r>
          </w:p>
        </w:tc>
      </w:tr>
      <w:tr>
        <w:tblPrEx>
          <w:tblLayout w:type="fixed"/>
          <w:tblCellMar>
            <w:top w:w="0" w:type="dxa"/>
            <w:left w:w="108" w:type="dxa"/>
            <w:bottom w:w="0" w:type="dxa"/>
            <w:right w:w="108" w:type="dxa"/>
          </w:tblCellMar>
        </w:tblPrEx>
        <w:trPr>
          <w:trHeight w:val="373" w:hRule="atLeast"/>
        </w:trPr>
        <w:tc>
          <w:tcPr>
            <w:tcW w:w="285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教育</w:t>
            </w:r>
          </w:p>
        </w:tc>
        <w:tc>
          <w:tcPr>
            <w:tcW w:w="127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70640</w:t>
            </w:r>
          </w:p>
        </w:tc>
        <w:tc>
          <w:tcPr>
            <w:tcW w:w="132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8</w:t>
            </w:r>
            <w:r>
              <w:rPr>
                <w:rFonts w:hint="eastAsia" w:ascii="仿宋_GB2312" w:hAnsi="仿宋" w:eastAsia="仿宋_GB2312" w:cs="仿宋"/>
                <w:kern w:val="0"/>
                <w:sz w:val="24"/>
                <w:lang w:val="en-US" w:eastAsia="zh-CN"/>
              </w:rPr>
              <w:t>9011</w:t>
            </w:r>
          </w:p>
        </w:tc>
        <w:tc>
          <w:tcPr>
            <w:tcW w:w="160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lang w:val="en-US" w:eastAsia="zh-CN"/>
              </w:rPr>
              <w:t>125.46</w:t>
            </w:r>
            <w:r>
              <w:rPr>
                <w:rFonts w:hint="eastAsia" w:ascii="仿宋_GB2312" w:hAnsi="仿宋" w:eastAsia="仿宋_GB2312" w:cs="仿宋"/>
                <w:kern w:val="0"/>
                <w:sz w:val="24"/>
              </w:rPr>
              <w:t>%</w:t>
            </w:r>
          </w:p>
        </w:tc>
        <w:tc>
          <w:tcPr>
            <w:tcW w:w="193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lang w:val="en-US" w:eastAsia="zh-CN"/>
              </w:rPr>
              <w:t>4.13</w:t>
            </w:r>
            <w:r>
              <w:rPr>
                <w:rFonts w:hint="eastAsia" w:ascii="仿宋_GB2312" w:hAnsi="仿宋" w:eastAsia="仿宋_GB2312" w:cs="仿宋"/>
                <w:kern w:val="0"/>
                <w:sz w:val="24"/>
              </w:rPr>
              <w:t>%</w:t>
            </w:r>
          </w:p>
        </w:tc>
      </w:tr>
      <w:tr>
        <w:tblPrEx>
          <w:tblLayout w:type="fixed"/>
          <w:tblCellMar>
            <w:top w:w="0" w:type="dxa"/>
            <w:left w:w="108" w:type="dxa"/>
            <w:bottom w:w="0" w:type="dxa"/>
            <w:right w:w="108" w:type="dxa"/>
          </w:tblCellMar>
        </w:tblPrEx>
        <w:trPr>
          <w:trHeight w:val="341" w:hRule="atLeast"/>
        </w:trPr>
        <w:tc>
          <w:tcPr>
            <w:tcW w:w="285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科学技术</w:t>
            </w:r>
          </w:p>
        </w:tc>
        <w:tc>
          <w:tcPr>
            <w:tcW w:w="127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605</w:t>
            </w:r>
          </w:p>
        </w:tc>
        <w:tc>
          <w:tcPr>
            <w:tcW w:w="132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2045</w:t>
            </w:r>
          </w:p>
        </w:tc>
        <w:tc>
          <w:tcPr>
            <w:tcW w:w="160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lang w:val="en-US" w:eastAsia="zh-CN"/>
              </w:rPr>
              <w:t>338.02</w:t>
            </w:r>
            <w:r>
              <w:rPr>
                <w:rFonts w:hint="eastAsia" w:ascii="仿宋_GB2312" w:hAnsi="仿宋" w:eastAsia="仿宋_GB2312" w:cs="仿宋"/>
                <w:kern w:val="0"/>
                <w:sz w:val="24"/>
              </w:rPr>
              <w:t>%</w:t>
            </w:r>
          </w:p>
        </w:tc>
        <w:tc>
          <w:tcPr>
            <w:tcW w:w="193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lang w:val="en-US" w:eastAsia="zh-CN"/>
              </w:rPr>
              <w:t>115.26</w:t>
            </w:r>
            <w:r>
              <w:rPr>
                <w:rFonts w:hint="eastAsia" w:ascii="仿宋_GB2312" w:hAnsi="仿宋" w:eastAsia="仿宋_GB2312" w:cs="仿宋"/>
                <w:kern w:val="0"/>
                <w:sz w:val="24"/>
              </w:rPr>
              <w:t>%</w:t>
            </w:r>
          </w:p>
        </w:tc>
      </w:tr>
      <w:tr>
        <w:tblPrEx>
          <w:tblLayout w:type="fixed"/>
        </w:tblPrEx>
        <w:trPr>
          <w:trHeight w:val="373" w:hRule="atLeast"/>
        </w:trPr>
        <w:tc>
          <w:tcPr>
            <w:tcW w:w="285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文化体育与传媒</w:t>
            </w:r>
          </w:p>
        </w:tc>
        <w:tc>
          <w:tcPr>
            <w:tcW w:w="127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1259</w:t>
            </w:r>
          </w:p>
        </w:tc>
        <w:tc>
          <w:tcPr>
            <w:tcW w:w="132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2</w:t>
            </w:r>
            <w:r>
              <w:rPr>
                <w:rFonts w:hint="eastAsia" w:ascii="仿宋_GB2312" w:hAnsi="仿宋" w:eastAsia="仿宋_GB2312" w:cs="仿宋"/>
                <w:kern w:val="0"/>
                <w:sz w:val="24"/>
                <w:lang w:val="en-US" w:eastAsia="zh-CN"/>
              </w:rPr>
              <w:t>375</w:t>
            </w:r>
          </w:p>
        </w:tc>
        <w:tc>
          <w:tcPr>
            <w:tcW w:w="160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lang w:val="en-US" w:eastAsia="zh-CN"/>
              </w:rPr>
              <w:t>188.64</w:t>
            </w:r>
            <w:r>
              <w:rPr>
                <w:rFonts w:hint="eastAsia" w:ascii="仿宋_GB2312" w:hAnsi="仿宋" w:eastAsia="仿宋_GB2312" w:cs="仿宋"/>
                <w:kern w:val="0"/>
                <w:sz w:val="24"/>
              </w:rPr>
              <w:t>%</w:t>
            </w:r>
          </w:p>
        </w:tc>
        <w:tc>
          <w:tcPr>
            <w:tcW w:w="193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lang w:val="en-US" w:eastAsia="zh-CN"/>
              </w:rPr>
              <w:t>5.56</w:t>
            </w:r>
            <w:r>
              <w:rPr>
                <w:rFonts w:hint="eastAsia" w:ascii="仿宋_GB2312" w:hAnsi="仿宋" w:eastAsia="仿宋_GB2312" w:cs="仿宋"/>
                <w:kern w:val="0"/>
                <w:sz w:val="24"/>
              </w:rPr>
              <w:t>%</w:t>
            </w:r>
          </w:p>
        </w:tc>
      </w:tr>
      <w:tr>
        <w:tblPrEx>
          <w:tblLayout w:type="fixed"/>
          <w:tblCellMar>
            <w:top w:w="0" w:type="dxa"/>
            <w:left w:w="108" w:type="dxa"/>
            <w:bottom w:w="0" w:type="dxa"/>
            <w:right w:w="108" w:type="dxa"/>
          </w:tblCellMar>
        </w:tblPrEx>
        <w:trPr>
          <w:trHeight w:val="389" w:hRule="atLeast"/>
        </w:trPr>
        <w:tc>
          <w:tcPr>
            <w:tcW w:w="285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社会保障和就业</w:t>
            </w:r>
          </w:p>
        </w:tc>
        <w:tc>
          <w:tcPr>
            <w:tcW w:w="127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17660</w:t>
            </w:r>
          </w:p>
        </w:tc>
        <w:tc>
          <w:tcPr>
            <w:tcW w:w="132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2</w:t>
            </w:r>
            <w:r>
              <w:rPr>
                <w:rFonts w:hint="eastAsia" w:ascii="仿宋_GB2312" w:hAnsi="仿宋" w:eastAsia="仿宋_GB2312" w:cs="仿宋"/>
                <w:kern w:val="0"/>
                <w:sz w:val="24"/>
                <w:lang w:val="en-US" w:eastAsia="zh-CN"/>
              </w:rPr>
              <w:t>7710</w:t>
            </w:r>
          </w:p>
        </w:tc>
        <w:tc>
          <w:tcPr>
            <w:tcW w:w="160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lang w:val="en-US" w:eastAsia="zh-CN"/>
              </w:rPr>
              <w:t>156.91</w:t>
            </w:r>
            <w:r>
              <w:rPr>
                <w:rFonts w:hint="eastAsia" w:ascii="仿宋_GB2312" w:hAnsi="仿宋" w:eastAsia="仿宋_GB2312" w:cs="仿宋"/>
                <w:kern w:val="0"/>
                <w:sz w:val="24"/>
              </w:rPr>
              <w:t>%</w:t>
            </w:r>
          </w:p>
        </w:tc>
        <w:tc>
          <w:tcPr>
            <w:tcW w:w="193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lang w:val="en-US" w:eastAsia="zh-CN"/>
              </w:rPr>
              <w:t>36.12</w:t>
            </w:r>
            <w:r>
              <w:rPr>
                <w:rFonts w:hint="eastAsia" w:ascii="仿宋_GB2312" w:hAnsi="仿宋" w:eastAsia="仿宋_GB2312" w:cs="仿宋"/>
                <w:kern w:val="0"/>
                <w:sz w:val="24"/>
              </w:rPr>
              <w:t>%</w:t>
            </w:r>
          </w:p>
        </w:tc>
      </w:tr>
      <w:tr>
        <w:tblPrEx>
          <w:tblLayout w:type="fixed"/>
          <w:tblCellMar>
            <w:top w:w="0" w:type="dxa"/>
            <w:left w:w="108" w:type="dxa"/>
            <w:bottom w:w="0" w:type="dxa"/>
            <w:right w:w="108" w:type="dxa"/>
          </w:tblCellMar>
        </w:tblPrEx>
        <w:trPr>
          <w:trHeight w:val="405" w:hRule="atLeast"/>
        </w:trPr>
        <w:tc>
          <w:tcPr>
            <w:tcW w:w="285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医疗卫生</w:t>
            </w:r>
          </w:p>
        </w:tc>
        <w:tc>
          <w:tcPr>
            <w:tcW w:w="127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27988</w:t>
            </w:r>
          </w:p>
        </w:tc>
        <w:tc>
          <w:tcPr>
            <w:tcW w:w="132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3</w:t>
            </w:r>
            <w:r>
              <w:rPr>
                <w:rFonts w:hint="eastAsia" w:ascii="仿宋_GB2312" w:hAnsi="仿宋" w:eastAsia="仿宋_GB2312" w:cs="仿宋"/>
                <w:kern w:val="0"/>
                <w:sz w:val="24"/>
                <w:lang w:val="en-US" w:eastAsia="zh-CN"/>
              </w:rPr>
              <w:t>8023</w:t>
            </w:r>
          </w:p>
        </w:tc>
        <w:tc>
          <w:tcPr>
            <w:tcW w:w="160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lang w:val="en-US" w:eastAsia="zh-CN"/>
              </w:rPr>
              <w:t>135.85</w:t>
            </w:r>
            <w:r>
              <w:rPr>
                <w:rFonts w:hint="eastAsia" w:ascii="仿宋_GB2312" w:hAnsi="仿宋" w:eastAsia="仿宋_GB2312" w:cs="仿宋"/>
                <w:kern w:val="0"/>
                <w:sz w:val="24"/>
              </w:rPr>
              <w:t>%</w:t>
            </w:r>
          </w:p>
        </w:tc>
        <w:tc>
          <w:tcPr>
            <w:tcW w:w="193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lang w:val="en-US" w:eastAsia="zh-CN"/>
              </w:rPr>
              <w:t>25.96</w:t>
            </w:r>
            <w:r>
              <w:rPr>
                <w:rFonts w:hint="eastAsia" w:ascii="仿宋_GB2312" w:hAnsi="仿宋" w:eastAsia="仿宋_GB2312" w:cs="仿宋"/>
                <w:kern w:val="0"/>
                <w:sz w:val="24"/>
              </w:rPr>
              <w:t>%</w:t>
            </w:r>
          </w:p>
        </w:tc>
      </w:tr>
      <w:tr>
        <w:tblPrEx>
          <w:tblLayout w:type="fixed"/>
          <w:tblCellMar>
            <w:top w:w="0" w:type="dxa"/>
            <w:left w:w="108" w:type="dxa"/>
            <w:bottom w:w="0" w:type="dxa"/>
            <w:right w:w="108" w:type="dxa"/>
          </w:tblCellMar>
        </w:tblPrEx>
        <w:trPr>
          <w:trHeight w:val="389" w:hRule="atLeast"/>
        </w:trPr>
        <w:tc>
          <w:tcPr>
            <w:tcW w:w="285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节能环保</w:t>
            </w:r>
          </w:p>
        </w:tc>
        <w:tc>
          <w:tcPr>
            <w:tcW w:w="127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634</w:t>
            </w:r>
          </w:p>
        </w:tc>
        <w:tc>
          <w:tcPr>
            <w:tcW w:w="132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47</w:t>
            </w:r>
            <w:r>
              <w:rPr>
                <w:rFonts w:hint="eastAsia" w:ascii="仿宋_GB2312" w:hAnsi="仿宋" w:eastAsia="仿宋_GB2312" w:cs="仿宋"/>
                <w:kern w:val="0"/>
                <w:sz w:val="24"/>
                <w:lang w:val="en-US" w:eastAsia="zh-CN"/>
              </w:rPr>
              <w:t>80</w:t>
            </w:r>
          </w:p>
        </w:tc>
        <w:tc>
          <w:tcPr>
            <w:tcW w:w="160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lang w:val="en-US" w:eastAsia="zh-CN"/>
              </w:rPr>
              <w:t>753.94</w:t>
            </w:r>
            <w:r>
              <w:rPr>
                <w:rFonts w:hint="eastAsia" w:ascii="仿宋_GB2312" w:hAnsi="仿宋" w:eastAsia="仿宋_GB2312" w:cs="仿宋"/>
                <w:kern w:val="0"/>
                <w:sz w:val="24"/>
              </w:rPr>
              <w:t>%</w:t>
            </w:r>
          </w:p>
        </w:tc>
        <w:tc>
          <w:tcPr>
            <w:tcW w:w="193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lang w:val="en-US" w:eastAsia="zh-CN"/>
              </w:rPr>
              <w:t>0.50</w:t>
            </w:r>
            <w:r>
              <w:rPr>
                <w:rFonts w:hint="eastAsia" w:ascii="仿宋_GB2312" w:hAnsi="仿宋" w:eastAsia="仿宋_GB2312" w:cs="仿宋"/>
                <w:kern w:val="0"/>
                <w:sz w:val="24"/>
              </w:rPr>
              <w:t>%</w:t>
            </w:r>
          </w:p>
        </w:tc>
      </w:tr>
      <w:tr>
        <w:tblPrEx>
          <w:tblLayout w:type="fixed"/>
          <w:tblCellMar>
            <w:top w:w="0" w:type="dxa"/>
            <w:left w:w="108" w:type="dxa"/>
            <w:bottom w:w="0" w:type="dxa"/>
            <w:right w:w="108" w:type="dxa"/>
          </w:tblCellMar>
        </w:tblPrEx>
        <w:trPr>
          <w:trHeight w:val="405" w:hRule="atLeast"/>
        </w:trPr>
        <w:tc>
          <w:tcPr>
            <w:tcW w:w="285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城乡社区事务</w:t>
            </w:r>
          </w:p>
        </w:tc>
        <w:tc>
          <w:tcPr>
            <w:tcW w:w="127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9728</w:t>
            </w:r>
          </w:p>
        </w:tc>
        <w:tc>
          <w:tcPr>
            <w:tcW w:w="132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lang w:val="en-US" w:eastAsia="zh-CN"/>
              </w:rPr>
            </w:pPr>
            <w:r>
              <w:rPr>
                <w:rFonts w:hint="eastAsia" w:ascii="仿宋_GB2312" w:hAnsi="仿宋" w:eastAsia="仿宋_GB2312" w:cs="仿宋"/>
                <w:kern w:val="0"/>
                <w:sz w:val="24"/>
                <w:lang w:val="en-US" w:eastAsia="zh-CN"/>
              </w:rPr>
              <w:t>4806</w:t>
            </w:r>
          </w:p>
        </w:tc>
        <w:tc>
          <w:tcPr>
            <w:tcW w:w="160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lang w:val="en-US" w:eastAsia="zh-CN"/>
              </w:rPr>
              <w:t>49.40</w:t>
            </w:r>
            <w:r>
              <w:rPr>
                <w:rFonts w:hint="eastAsia" w:ascii="仿宋_GB2312" w:hAnsi="仿宋" w:eastAsia="仿宋_GB2312" w:cs="仿宋"/>
                <w:kern w:val="0"/>
                <w:sz w:val="24"/>
              </w:rPr>
              <w:t>%</w:t>
            </w:r>
          </w:p>
        </w:tc>
        <w:tc>
          <w:tcPr>
            <w:tcW w:w="193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lang w:val="en-US" w:eastAsia="zh-CN"/>
              </w:rPr>
              <w:t>27.01</w:t>
            </w:r>
            <w:r>
              <w:rPr>
                <w:rFonts w:hint="eastAsia" w:ascii="仿宋_GB2312" w:hAnsi="仿宋" w:eastAsia="仿宋_GB2312" w:cs="仿宋"/>
                <w:kern w:val="0"/>
                <w:sz w:val="24"/>
              </w:rPr>
              <w:t>%</w:t>
            </w:r>
          </w:p>
        </w:tc>
      </w:tr>
      <w:tr>
        <w:tblPrEx>
          <w:tblLayout w:type="fixed"/>
          <w:tblCellMar>
            <w:top w:w="0" w:type="dxa"/>
            <w:left w:w="108" w:type="dxa"/>
            <w:bottom w:w="0" w:type="dxa"/>
            <w:right w:w="108" w:type="dxa"/>
          </w:tblCellMar>
        </w:tblPrEx>
        <w:trPr>
          <w:trHeight w:val="405" w:hRule="atLeast"/>
        </w:trPr>
        <w:tc>
          <w:tcPr>
            <w:tcW w:w="285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农林水事务</w:t>
            </w:r>
          </w:p>
        </w:tc>
        <w:tc>
          <w:tcPr>
            <w:tcW w:w="127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15863</w:t>
            </w:r>
          </w:p>
        </w:tc>
        <w:tc>
          <w:tcPr>
            <w:tcW w:w="132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49789</w:t>
            </w:r>
          </w:p>
        </w:tc>
        <w:tc>
          <w:tcPr>
            <w:tcW w:w="160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lang w:val="en-US" w:eastAsia="zh-CN"/>
              </w:rPr>
              <w:t>313.87</w:t>
            </w:r>
            <w:r>
              <w:rPr>
                <w:rFonts w:hint="eastAsia" w:ascii="仿宋_GB2312" w:hAnsi="仿宋" w:eastAsia="仿宋_GB2312" w:cs="仿宋"/>
                <w:kern w:val="0"/>
                <w:sz w:val="24"/>
              </w:rPr>
              <w:t>%</w:t>
            </w:r>
          </w:p>
        </w:tc>
        <w:tc>
          <w:tcPr>
            <w:tcW w:w="193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lang w:val="en-US" w:eastAsia="zh-CN"/>
              </w:rPr>
              <w:t>36.99</w:t>
            </w:r>
            <w:r>
              <w:rPr>
                <w:rFonts w:hint="eastAsia" w:ascii="仿宋_GB2312" w:hAnsi="仿宋" w:eastAsia="仿宋_GB2312" w:cs="仿宋"/>
                <w:kern w:val="0"/>
                <w:sz w:val="24"/>
              </w:rPr>
              <w:t>%</w:t>
            </w:r>
          </w:p>
        </w:tc>
      </w:tr>
      <w:tr>
        <w:tblPrEx>
          <w:tblLayout w:type="fixed"/>
        </w:tblPrEx>
        <w:trPr>
          <w:trHeight w:val="454" w:hRule="atLeast"/>
        </w:trPr>
        <w:tc>
          <w:tcPr>
            <w:tcW w:w="285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交通运输</w:t>
            </w:r>
          </w:p>
        </w:tc>
        <w:tc>
          <w:tcPr>
            <w:tcW w:w="127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2052</w:t>
            </w:r>
          </w:p>
        </w:tc>
        <w:tc>
          <w:tcPr>
            <w:tcW w:w="132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7601</w:t>
            </w:r>
          </w:p>
        </w:tc>
        <w:tc>
          <w:tcPr>
            <w:tcW w:w="160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lang w:val="en-US" w:eastAsia="zh-CN"/>
              </w:rPr>
              <w:t>370.42.</w:t>
            </w:r>
            <w:r>
              <w:rPr>
                <w:rFonts w:hint="eastAsia" w:ascii="仿宋_GB2312" w:hAnsi="仿宋" w:eastAsia="仿宋_GB2312" w:cs="仿宋"/>
                <w:kern w:val="0"/>
                <w:sz w:val="24"/>
              </w:rPr>
              <w:t>%</w:t>
            </w:r>
          </w:p>
        </w:tc>
        <w:tc>
          <w:tcPr>
            <w:tcW w:w="193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lang w:val="en-US" w:eastAsia="zh-CN"/>
              </w:rPr>
              <w:t>276.29</w:t>
            </w:r>
            <w:r>
              <w:rPr>
                <w:rFonts w:hint="eastAsia" w:ascii="仿宋_GB2312" w:hAnsi="仿宋" w:eastAsia="仿宋_GB2312" w:cs="仿宋"/>
                <w:kern w:val="0"/>
                <w:sz w:val="24"/>
              </w:rPr>
              <w:t>%</w:t>
            </w:r>
          </w:p>
        </w:tc>
      </w:tr>
      <w:tr>
        <w:tblPrEx>
          <w:tblLayout w:type="fixed"/>
          <w:tblCellMar>
            <w:top w:w="0" w:type="dxa"/>
            <w:left w:w="108" w:type="dxa"/>
            <w:bottom w:w="0" w:type="dxa"/>
            <w:right w:w="108" w:type="dxa"/>
          </w:tblCellMar>
        </w:tblPrEx>
        <w:trPr>
          <w:trHeight w:val="405" w:hRule="atLeast"/>
        </w:trPr>
        <w:tc>
          <w:tcPr>
            <w:tcW w:w="285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资源勘探电力信息等事务</w:t>
            </w:r>
          </w:p>
        </w:tc>
        <w:tc>
          <w:tcPr>
            <w:tcW w:w="127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350</w:t>
            </w:r>
          </w:p>
        </w:tc>
        <w:tc>
          <w:tcPr>
            <w:tcW w:w="132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460</w:t>
            </w:r>
          </w:p>
        </w:tc>
        <w:tc>
          <w:tcPr>
            <w:tcW w:w="160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lang w:val="en-US" w:eastAsia="zh-CN"/>
              </w:rPr>
              <w:t>131.43</w:t>
            </w:r>
            <w:r>
              <w:rPr>
                <w:rFonts w:hint="eastAsia" w:ascii="仿宋_GB2312" w:hAnsi="仿宋" w:eastAsia="仿宋_GB2312" w:cs="仿宋"/>
                <w:kern w:val="0"/>
                <w:sz w:val="24"/>
              </w:rPr>
              <w:t>%</w:t>
            </w:r>
          </w:p>
        </w:tc>
        <w:tc>
          <w:tcPr>
            <w:tcW w:w="193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lang w:val="en-US" w:eastAsia="zh-CN"/>
              </w:rPr>
              <w:t>-68.49</w:t>
            </w:r>
            <w:r>
              <w:rPr>
                <w:rFonts w:hint="eastAsia" w:ascii="仿宋_GB2312" w:hAnsi="仿宋" w:eastAsia="仿宋_GB2312" w:cs="仿宋"/>
                <w:kern w:val="0"/>
                <w:sz w:val="24"/>
              </w:rPr>
              <w:t>%</w:t>
            </w:r>
          </w:p>
        </w:tc>
      </w:tr>
      <w:tr>
        <w:tblPrEx>
          <w:tblLayout w:type="fixed"/>
          <w:tblCellMar>
            <w:top w:w="0" w:type="dxa"/>
            <w:left w:w="108" w:type="dxa"/>
            <w:bottom w:w="0" w:type="dxa"/>
            <w:right w:w="108" w:type="dxa"/>
          </w:tblCellMar>
        </w:tblPrEx>
        <w:trPr>
          <w:trHeight w:val="405" w:hRule="atLeast"/>
        </w:trPr>
        <w:tc>
          <w:tcPr>
            <w:tcW w:w="285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商业服务业等事务</w:t>
            </w:r>
          </w:p>
        </w:tc>
        <w:tc>
          <w:tcPr>
            <w:tcW w:w="127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222</w:t>
            </w:r>
          </w:p>
        </w:tc>
        <w:tc>
          <w:tcPr>
            <w:tcW w:w="132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384</w:t>
            </w:r>
          </w:p>
        </w:tc>
        <w:tc>
          <w:tcPr>
            <w:tcW w:w="160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lang w:val="en-US" w:eastAsia="zh-CN"/>
              </w:rPr>
              <w:t>172.97</w:t>
            </w:r>
            <w:r>
              <w:rPr>
                <w:rFonts w:hint="eastAsia" w:ascii="仿宋_GB2312" w:hAnsi="仿宋" w:eastAsia="仿宋_GB2312" w:cs="仿宋"/>
                <w:kern w:val="0"/>
                <w:sz w:val="24"/>
              </w:rPr>
              <w:t>%</w:t>
            </w:r>
          </w:p>
        </w:tc>
        <w:tc>
          <w:tcPr>
            <w:tcW w:w="193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lang w:val="en-US" w:eastAsia="zh-CN"/>
              </w:rPr>
              <w:t>-24.71</w:t>
            </w:r>
            <w:r>
              <w:rPr>
                <w:rFonts w:hint="eastAsia" w:ascii="仿宋_GB2312" w:hAnsi="仿宋" w:eastAsia="仿宋_GB2312" w:cs="仿宋"/>
                <w:kern w:val="0"/>
                <w:sz w:val="24"/>
              </w:rPr>
              <w:t>%</w:t>
            </w:r>
          </w:p>
        </w:tc>
      </w:tr>
      <w:tr>
        <w:tblPrEx>
          <w:tblLayout w:type="fixed"/>
          <w:tblCellMar>
            <w:top w:w="0" w:type="dxa"/>
            <w:left w:w="108" w:type="dxa"/>
            <w:bottom w:w="0" w:type="dxa"/>
            <w:right w:w="108" w:type="dxa"/>
          </w:tblCellMar>
        </w:tblPrEx>
        <w:trPr>
          <w:trHeight w:val="389" w:hRule="atLeast"/>
        </w:trPr>
        <w:tc>
          <w:tcPr>
            <w:tcW w:w="285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金融监管等事务支出</w:t>
            </w:r>
          </w:p>
        </w:tc>
        <w:tc>
          <w:tcPr>
            <w:tcW w:w="127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lang w:val="en-US" w:eastAsia="zh-CN"/>
              </w:rPr>
            </w:pPr>
            <w:r>
              <w:rPr>
                <w:rFonts w:hint="eastAsia" w:ascii="仿宋_GB2312" w:hAnsi="仿宋" w:eastAsia="仿宋_GB2312" w:cs="仿宋"/>
                <w:kern w:val="0"/>
                <w:sz w:val="24"/>
                <w:lang w:val="en-US" w:eastAsia="zh-CN"/>
              </w:rPr>
              <w:t>0</w:t>
            </w:r>
          </w:p>
        </w:tc>
        <w:tc>
          <w:tcPr>
            <w:tcW w:w="132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lang w:val="en-US" w:eastAsia="zh-CN"/>
              </w:rPr>
            </w:pPr>
            <w:r>
              <w:rPr>
                <w:rFonts w:hint="eastAsia" w:ascii="仿宋_GB2312" w:hAnsi="仿宋" w:eastAsia="仿宋_GB2312" w:cs="仿宋"/>
                <w:kern w:val="0"/>
                <w:sz w:val="24"/>
                <w:lang w:val="en-US" w:eastAsia="zh-CN"/>
              </w:rPr>
              <w:t>3</w:t>
            </w:r>
          </w:p>
        </w:tc>
        <w:tc>
          <w:tcPr>
            <w:tcW w:w="160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p>
        </w:tc>
        <w:tc>
          <w:tcPr>
            <w:tcW w:w="193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lang w:val="en-US" w:eastAsia="zh-CN"/>
              </w:rPr>
              <w:t>-97.73</w:t>
            </w:r>
            <w:r>
              <w:rPr>
                <w:rFonts w:hint="eastAsia" w:ascii="仿宋_GB2312" w:hAnsi="仿宋" w:eastAsia="仿宋_GB2312" w:cs="仿宋"/>
                <w:kern w:val="0"/>
                <w:sz w:val="24"/>
              </w:rPr>
              <w:t>%</w:t>
            </w:r>
          </w:p>
        </w:tc>
      </w:tr>
      <w:tr>
        <w:tblPrEx>
          <w:tblLayout w:type="fixed"/>
          <w:tblCellMar>
            <w:top w:w="0" w:type="dxa"/>
            <w:left w:w="108" w:type="dxa"/>
            <w:bottom w:w="0" w:type="dxa"/>
            <w:right w:w="108" w:type="dxa"/>
          </w:tblCellMar>
        </w:tblPrEx>
        <w:trPr>
          <w:trHeight w:val="389" w:hRule="atLeast"/>
        </w:trPr>
        <w:tc>
          <w:tcPr>
            <w:tcW w:w="285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国土资源气象等事务</w:t>
            </w:r>
          </w:p>
        </w:tc>
        <w:tc>
          <w:tcPr>
            <w:tcW w:w="127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1347</w:t>
            </w:r>
          </w:p>
        </w:tc>
        <w:tc>
          <w:tcPr>
            <w:tcW w:w="132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260</w:t>
            </w:r>
          </w:p>
        </w:tc>
        <w:tc>
          <w:tcPr>
            <w:tcW w:w="160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lang w:val="en-US" w:eastAsia="zh-CN"/>
              </w:rPr>
              <w:t>19.30</w:t>
            </w:r>
            <w:r>
              <w:rPr>
                <w:rFonts w:hint="eastAsia" w:ascii="仿宋_GB2312" w:hAnsi="仿宋" w:eastAsia="仿宋_GB2312" w:cs="仿宋"/>
                <w:kern w:val="0"/>
                <w:sz w:val="24"/>
              </w:rPr>
              <w:t>%</w:t>
            </w:r>
          </w:p>
        </w:tc>
        <w:tc>
          <w:tcPr>
            <w:tcW w:w="193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lang w:val="en-US" w:eastAsia="zh-CN"/>
              </w:rPr>
              <w:t>-48</w:t>
            </w:r>
            <w:r>
              <w:rPr>
                <w:rFonts w:hint="eastAsia" w:ascii="仿宋_GB2312" w:hAnsi="仿宋" w:eastAsia="仿宋_GB2312" w:cs="仿宋"/>
                <w:kern w:val="0"/>
                <w:sz w:val="24"/>
              </w:rPr>
              <w:t>%</w:t>
            </w:r>
          </w:p>
        </w:tc>
      </w:tr>
      <w:tr>
        <w:tblPrEx>
          <w:tblLayout w:type="fixed"/>
          <w:tblCellMar>
            <w:top w:w="0" w:type="dxa"/>
            <w:left w:w="108" w:type="dxa"/>
            <w:bottom w:w="0" w:type="dxa"/>
            <w:right w:w="108" w:type="dxa"/>
          </w:tblCellMar>
        </w:tblPrEx>
        <w:trPr>
          <w:trHeight w:val="342" w:hRule="atLeast"/>
        </w:trPr>
        <w:tc>
          <w:tcPr>
            <w:tcW w:w="285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bookmarkStart w:id="1" w:name="OLE_LINK2" w:colFirst="3" w:colLast="4"/>
            <w:r>
              <w:rPr>
                <w:rFonts w:hint="eastAsia" w:ascii="仿宋_GB2312" w:hAnsi="仿宋" w:eastAsia="仿宋_GB2312" w:cs="仿宋"/>
                <w:kern w:val="0"/>
                <w:sz w:val="24"/>
              </w:rPr>
              <w:t>住房保障支出</w:t>
            </w:r>
          </w:p>
        </w:tc>
        <w:tc>
          <w:tcPr>
            <w:tcW w:w="127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3000</w:t>
            </w:r>
          </w:p>
        </w:tc>
        <w:tc>
          <w:tcPr>
            <w:tcW w:w="132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5765</w:t>
            </w:r>
          </w:p>
        </w:tc>
        <w:tc>
          <w:tcPr>
            <w:tcW w:w="160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lang w:val="en-US" w:eastAsia="zh-CN"/>
              </w:rPr>
              <w:t>192.17</w:t>
            </w:r>
            <w:r>
              <w:rPr>
                <w:rFonts w:hint="eastAsia" w:ascii="仿宋_GB2312" w:hAnsi="仿宋" w:eastAsia="仿宋_GB2312" w:cs="仿宋"/>
                <w:kern w:val="0"/>
                <w:sz w:val="24"/>
              </w:rPr>
              <w:t>%</w:t>
            </w:r>
          </w:p>
        </w:tc>
        <w:tc>
          <w:tcPr>
            <w:tcW w:w="193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lang w:val="en-US" w:eastAsia="zh-CN"/>
              </w:rPr>
              <w:t>-29.12</w:t>
            </w:r>
            <w:r>
              <w:rPr>
                <w:rFonts w:hint="eastAsia" w:ascii="仿宋_GB2312" w:hAnsi="仿宋" w:eastAsia="仿宋_GB2312" w:cs="仿宋"/>
                <w:kern w:val="0"/>
                <w:sz w:val="24"/>
              </w:rPr>
              <w:t>%</w:t>
            </w:r>
          </w:p>
        </w:tc>
      </w:tr>
      <w:tr>
        <w:tblPrEx>
          <w:tblLayout w:type="fixed"/>
        </w:tblPrEx>
        <w:trPr>
          <w:trHeight w:val="373" w:hRule="atLeast"/>
        </w:trPr>
        <w:tc>
          <w:tcPr>
            <w:tcW w:w="285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粮油物资储备管理事务</w:t>
            </w:r>
          </w:p>
        </w:tc>
        <w:tc>
          <w:tcPr>
            <w:tcW w:w="127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165</w:t>
            </w:r>
          </w:p>
        </w:tc>
        <w:tc>
          <w:tcPr>
            <w:tcW w:w="132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695</w:t>
            </w:r>
          </w:p>
        </w:tc>
        <w:tc>
          <w:tcPr>
            <w:tcW w:w="160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lang w:val="en-US" w:eastAsia="zh-CN"/>
              </w:rPr>
              <w:t>94.55</w:t>
            </w:r>
            <w:r>
              <w:rPr>
                <w:rFonts w:hint="eastAsia" w:ascii="仿宋_GB2312" w:hAnsi="仿宋" w:eastAsia="仿宋_GB2312" w:cs="仿宋"/>
                <w:kern w:val="0"/>
                <w:sz w:val="24"/>
              </w:rPr>
              <w:t>%</w:t>
            </w:r>
          </w:p>
        </w:tc>
        <w:tc>
          <w:tcPr>
            <w:tcW w:w="193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lang w:val="en-US" w:eastAsia="zh-CN"/>
              </w:rPr>
              <w:t>-87</w:t>
            </w:r>
            <w:r>
              <w:rPr>
                <w:rFonts w:hint="eastAsia" w:ascii="仿宋_GB2312" w:hAnsi="仿宋" w:eastAsia="仿宋_GB2312" w:cs="仿宋"/>
                <w:kern w:val="0"/>
                <w:sz w:val="24"/>
              </w:rPr>
              <w:t>%</w:t>
            </w:r>
          </w:p>
        </w:tc>
      </w:tr>
      <w:bookmarkEnd w:id="1"/>
      <w:tr>
        <w:tblPrEx>
          <w:tblLayout w:type="fixed"/>
          <w:tblCellMar>
            <w:top w:w="0" w:type="dxa"/>
            <w:left w:w="108" w:type="dxa"/>
            <w:bottom w:w="0" w:type="dxa"/>
            <w:right w:w="108" w:type="dxa"/>
          </w:tblCellMar>
        </w:tblPrEx>
        <w:trPr>
          <w:trHeight w:val="357" w:hRule="atLeast"/>
        </w:trPr>
        <w:tc>
          <w:tcPr>
            <w:tcW w:w="285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eastAsia="zh-CN"/>
              </w:rPr>
              <w:t>预备费</w:t>
            </w:r>
          </w:p>
        </w:tc>
        <w:tc>
          <w:tcPr>
            <w:tcW w:w="127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lang w:val="en-US" w:eastAsia="zh-CN"/>
              </w:rPr>
            </w:pPr>
            <w:r>
              <w:rPr>
                <w:rFonts w:hint="eastAsia" w:ascii="仿宋_GB2312" w:hAnsi="仿宋" w:eastAsia="仿宋_GB2312" w:cs="仿宋"/>
                <w:kern w:val="0"/>
                <w:sz w:val="24"/>
                <w:lang w:val="en-US" w:eastAsia="zh-CN"/>
              </w:rPr>
              <w:t>4000</w:t>
            </w:r>
          </w:p>
        </w:tc>
        <w:tc>
          <w:tcPr>
            <w:tcW w:w="132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lang w:val="en-US" w:eastAsia="zh-CN"/>
              </w:rPr>
            </w:pPr>
          </w:p>
        </w:tc>
        <w:tc>
          <w:tcPr>
            <w:tcW w:w="160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p>
        </w:tc>
        <w:tc>
          <w:tcPr>
            <w:tcW w:w="193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p>
        </w:tc>
      </w:tr>
      <w:tr>
        <w:tblPrEx>
          <w:tblLayout w:type="fixed"/>
          <w:tblCellMar>
            <w:top w:w="0" w:type="dxa"/>
            <w:left w:w="108" w:type="dxa"/>
            <w:bottom w:w="0" w:type="dxa"/>
            <w:right w:w="108" w:type="dxa"/>
          </w:tblCellMar>
        </w:tblPrEx>
        <w:trPr>
          <w:trHeight w:val="357" w:hRule="atLeast"/>
        </w:trPr>
        <w:tc>
          <w:tcPr>
            <w:tcW w:w="285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国债还本付息支出</w:t>
            </w:r>
          </w:p>
        </w:tc>
        <w:tc>
          <w:tcPr>
            <w:tcW w:w="127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400</w:t>
            </w:r>
          </w:p>
        </w:tc>
        <w:tc>
          <w:tcPr>
            <w:tcW w:w="132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lang w:val="en-US" w:eastAsia="zh-CN"/>
              </w:rPr>
            </w:pPr>
            <w:r>
              <w:rPr>
                <w:rFonts w:hint="eastAsia" w:ascii="仿宋_GB2312" w:hAnsi="仿宋" w:eastAsia="仿宋_GB2312" w:cs="仿宋"/>
                <w:kern w:val="0"/>
                <w:sz w:val="24"/>
                <w:lang w:val="en-US" w:eastAsia="zh-CN"/>
              </w:rPr>
              <w:t>154</w:t>
            </w:r>
          </w:p>
        </w:tc>
        <w:tc>
          <w:tcPr>
            <w:tcW w:w="160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p>
        </w:tc>
        <w:tc>
          <w:tcPr>
            <w:tcW w:w="193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p>
        </w:tc>
      </w:tr>
      <w:tr>
        <w:tblPrEx>
          <w:tblLayout w:type="fixed"/>
          <w:tblCellMar>
            <w:top w:w="0" w:type="dxa"/>
            <w:left w:w="108" w:type="dxa"/>
            <w:bottom w:w="0" w:type="dxa"/>
            <w:right w:w="108" w:type="dxa"/>
          </w:tblCellMar>
        </w:tblPrEx>
        <w:trPr>
          <w:trHeight w:val="357" w:hRule="atLeast"/>
        </w:trPr>
        <w:tc>
          <w:tcPr>
            <w:tcW w:w="285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其他支出</w:t>
            </w:r>
          </w:p>
        </w:tc>
        <w:tc>
          <w:tcPr>
            <w:tcW w:w="127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5480</w:t>
            </w:r>
          </w:p>
        </w:tc>
        <w:tc>
          <w:tcPr>
            <w:tcW w:w="132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lang w:val="en-US" w:eastAsia="zh-CN"/>
              </w:rPr>
            </w:pPr>
            <w:r>
              <w:rPr>
                <w:rFonts w:hint="eastAsia" w:ascii="仿宋_GB2312" w:hAnsi="仿宋" w:eastAsia="仿宋_GB2312" w:cs="仿宋"/>
                <w:kern w:val="0"/>
                <w:sz w:val="24"/>
                <w:lang w:val="en-US" w:eastAsia="zh-CN"/>
              </w:rPr>
              <w:t>14</w:t>
            </w:r>
          </w:p>
        </w:tc>
        <w:tc>
          <w:tcPr>
            <w:tcW w:w="160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lang w:val="en-US" w:eastAsia="zh-CN"/>
              </w:rPr>
              <w:t>3.07</w:t>
            </w:r>
            <w:r>
              <w:rPr>
                <w:rFonts w:hint="eastAsia" w:ascii="仿宋_GB2312" w:hAnsi="仿宋" w:eastAsia="仿宋_GB2312" w:cs="仿宋"/>
                <w:kern w:val="0"/>
                <w:sz w:val="24"/>
              </w:rPr>
              <w:t>%</w:t>
            </w:r>
          </w:p>
        </w:tc>
        <w:tc>
          <w:tcPr>
            <w:tcW w:w="193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p>
        </w:tc>
      </w:tr>
      <w:tr>
        <w:tblPrEx>
          <w:tblLayout w:type="fixed"/>
          <w:tblCellMar>
            <w:top w:w="0" w:type="dxa"/>
            <w:left w:w="108" w:type="dxa"/>
            <w:bottom w:w="0" w:type="dxa"/>
            <w:right w:w="108" w:type="dxa"/>
          </w:tblCellMar>
        </w:tblPrEx>
        <w:trPr>
          <w:trHeight w:val="357" w:hRule="atLeast"/>
        </w:trPr>
        <w:tc>
          <w:tcPr>
            <w:tcW w:w="285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仿宋"/>
                <w:kern w:val="0"/>
                <w:sz w:val="24"/>
                <w:lang w:val="en-US" w:eastAsia="zh-CN"/>
              </w:rPr>
            </w:pPr>
            <w:r>
              <w:rPr>
                <w:rFonts w:hint="eastAsia" w:ascii="仿宋_GB2312" w:hAnsi="仿宋" w:eastAsia="仿宋_GB2312" w:cs="仿宋"/>
                <w:kern w:val="0"/>
                <w:sz w:val="24"/>
                <w:lang w:val="en-US" w:eastAsia="zh-CN"/>
              </w:rPr>
              <w:t>转移性支出</w:t>
            </w:r>
          </w:p>
        </w:tc>
        <w:tc>
          <w:tcPr>
            <w:tcW w:w="127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lang w:val="en-US" w:eastAsia="zh-CN"/>
              </w:rPr>
            </w:pPr>
            <w:r>
              <w:rPr>
                <w:rFonts w:hint="eastAsia" w:ascii="仿宋_GB2312" w:hAnsi="仿宋" w:eastAsia="仿宋_GB2312" w:cs="仿宋"/>
                <w:kern w:val="0"/>
                <w:sz w:val="24"/>
                <w:lang w:val="en-US" w:eastAsia="zh-CN"/>
              </w:rPr>
              <w:t>5600</w:t>
            </w:r>
          </w:p>
        </w:tc>
        <w:tc>
          <w:tcPr>
            <w:tcW w:w="132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lang w:val="en-US" w:eastAsia="zh-CN"/>
              </w:rPr>
            </w:pPr>
          </w:p>
        </w:tc>
        <w:tc>
          <w:tcPr>
            <w:tcW w:w="160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lang w:val="en-US" w:eastAsia="zh-CN"/>
              </w:rPr>
            </w:pPr>
          </w:p>
        </w:tc>
        <w:tc>
          <w:tcPr>
            <w:tcW w:w="193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kern w:val="0"/>
                <w:sz w:val="24"/>
              </w:rPr>
            </w:pPr>
          </w:p>
        </w:tc>
      </w:tr>
      <w:tr>
        <w:tblPrEx>
          <w:tblLayout w:type="fixed"/>
          <w:tblCellMar>
            <w:top w:w="0" w:type="dxa"/>
            <w:left w:w="108" w:type="dxa"/>
            <w:bottom w:w="0" w:type="dxa"/>
            <w:right w:w="108" w:type="dxa"/>
          </w:tblCellMar>
        </w:tblPrEx>
        <w:trPr>
          <w:trHeight w:val="519" w:hRule="atLeast"/>
        </w:trPr>
        <w:tc>
          <w:tcPr>
            <w:tcW w:w="285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仿宋"/>
                <w:bCs/>
                <w:kern w:val="0"/>
                <w:sz w:val="24"/>
              </w:rPr>
            </w:pPr>
            <w:r>
              <w:rPr>
                <w:rFonts w:hint="eastAsia" w:ascii="仿宋_GB2312" w:hAnsi="仿宋" w:eastAsia="仿宋_GB2312" w:cs="仿宋"/>
                <w:bCs/>
                <w:kern w:val="0"/>
                <w:sz w:val="24"/>
              </w:rPr>
              <w:t>合      计</w:t>
            </w:r>
          </w:p>
        </w:tc>
        <w:tc>
          <w:tcPr>
            <w:tcW w:w="127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bCs/>
                <w:kern w:val="0"/>
                <w:sz w:val="24"/>
              </w:rPr>
            </w:pPr>
            <w:r>
              <w:rPr>
                <w:rFonts w:hint="eastAsia" w:ascii="仿宋_GB2312" w:hAnsi="仿宋" w:eastAsia="仿宋_GB2312" w:cs="仿宋"/>
                <w:bCs/>
                <w:kern w:val="0"/>
                <w:sz w:val="24"/>
              </w:rPr>
              <w:t>1</w:t>
            </w:r>
            <w:r>
              <w:rPr>
                <w:rFonts w:hint="eastAsia" w:ascii="仿宋_GB2312" w:hAnsi="仿宋" w:eastAsia="仿宋_GB2312" w:cs="仿宋"/>
                <w:bCs/>
                <w:kern w:val="0"/>
                <w:sz w:val="24"/>
                <w:lang w:val="en-US" w:eastAsia="zh-CN"/>
              </w:rPr>
              <w:t>97579</w:t>
            </w:r>
          </w:p>
        </w:tc>
        <w:tc>
          <w:tcPr>
            <w:tcW w:w="132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bCs/>
                <w:kern w:val="0"/>
                <w:sz w:val="24"/>
                <w:lang w:eastAsia="zh-CN"/>
              </w:rPr>
            </w:pPr>
            <w:r>
              <w:rPr>
                <w:rFonts w:hint="eastAsia" w:ascii="仿宋_GB2312" w:hAnsi="仿宋" w:eastAsia="仿宋_GB2312" w:cs="仿宋"/>
                <w:bCs/>
                <w:kern w:val="0"/>
                <w:sz w:val="24"/>
                <w:lang w:val="en-US" w:eastAsia="zh-CN"/>
              </w:rPr>
              <w:t>334672</w:t>
            </w:r>
          </w:p>
        </w:tc>
        <w:tc>
          <w:tcPr>
            <w:tcW w:w="160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bCs/>
                <w:kern w:val="0"/>
                <w:sz w:val="24"/>
              </w:rPr>
            </w:pPr>
            <w:r>
              <w:rPr>
                <w:rFonts w:hint="eastAsia" w:ascii="仿宋_GB2312" w:hAnsi="仿宋" w:eastAsia="仿宋_GB2312" w:cs="仿宋"/>
                <w:bCs/>
                <w:kern w:val="0"/>
                <w:sz w:val="24"/>
                <w:lang w:val="en-US" w:eastAsia="zh-CN"/>
              </w:rPr>
              <w:t>165.79</w:t>
            </w:r>
            <w:r>
              <w:rPr>
                <w:rFonts w:hint="eastAsia" w:ascii="仿宋_GB2312" w:hAnsi="仿宋" w:eastAsia="仿宋_GB2312" w:cs="仿宋"/>
                <w:bCs/>
                <w:kern w:val="0"/>
                <w:sz w:val="24"/>
              </w:rPr>
              <w:t>%</w:t>
            </w:r>
          </w:p>
        </w:tc>
        <w:tc>
          <w:tcPr>
            <w:tcW w:w="1930"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
                <w:bCs/>
                <w:kern w:val="0"/>
                <w:sz w:val="24"/>
              </w:rPr>
            </w:pPr>
            <w:r>
              <w:rPr>
                <w:rFonts w:hint="eastAsia" w:ascii="仿宋_GB2312" w:hAnsi="仿宋" w:eastAsia="仿宋_GB2312" w:cs="仿宋"/>
                <w:bCs/>
                <w:kern w:val="0"/>
                <w:sz w:val="24"/>
                <w:lang w:val="en-US" w:eastAsia="zh-CN"/>
              </w:rPr>
              <w:t>12.22</w:t>
            </w:r>
            <w:r>
              <w:rPr>
                <w:rFonts w:hint="eastAsia" w:ascii="仿宋_GB2312" w:hAnsi="仿宋" w:eastAsia="仿宋_GB2312" w:cs="仿宋"/>
                <w:bCs/>
                <w:kern w:val="0"/>
                <w:sz w:val="24"/>
              </w:rPr>
              <w:t>%</w:t>
            </w:r>
          </w:p>
        </w:tc>
      </w:tr>
      <w:bookmarkEnd w:id="0"/>
    </w:tbl>
    <w:p>
      <w:pPr>
        <w:adjustRightInd w:val="0"/>
        <w:snapToGrid w:val="0"/>
        <w:spacing w:line="240" w:lineRule="atLeast"/>
        <w:rPr>
          <w:rFonts w:hint="eastAsia" w:ascii="仿宋_GB2312" w:hAnsi="仿宋" w:eastAsia="仿宋_GB2312" w:cs="仿宋"/>
          <w:b/>
          <w:bCs/>
          <w:sz w:val="28"/>
          <w:szCs w:val="28"/>
          <w:shd w:val="clear" w:color="auto" w:fill="FFFFFF"/>
        </w:rPr>
      </w:pPr>
      <w:r>
        <w:rPr>
          <w:rFonts w:hint="eastAsia" w:ascii="仿宋_GB2312" w:hAnsi="仿宋" w:eastAsia="仿宋_GB2312" w:cs="仿宋"/>
          <w:b/>
          <w:bCs/>
          <w:szCs w:val="21"/>
          <w:shd w:val="clear" w:color="auto" w:fill="FFFFFF"/>
        </w:rPr>
        <w:t xml:space="preserve">    </w:t>
      </w:r>
    </w:p>
    <w:p>
      <w:pPr>
        <w:adjustRightInd w:val="0"/>
        <w:snapToGrid w:val="0"/>
        <w:spacing w:line="240" w:lineRule="atLeast"/>
        <w:ind w:right="-2"/>
        <w:rPr>
          <w:rFonts w:hint="eastAsia" w:ascii="仿宋_GB2312" w:eastAsia="仿宋_GB2312"/>
          <w:b/>
          <w:bCs/>
          <w:sz w:val="28"/>
          <w:szCs w:val="28"/>
        </w:rPr>
      </w:pPr>
      <w:r>
        <w:rPr>
          <w:rFonts w:hint="eastAsia" w:ascii="仿宋_GB2312" w:hAnsi="仿宋" w:eastAsia="仿宋_GB2312" w:cs="仿宋"/>
          <w:b/>
          <w:bCs/>
          <w:sz w:val="28"/>
          <w:szCs w:val="28"/>
          <w:shd w:val="clear" w:color="auto" w:fill="FFFFFF"/>
        </w:rPr>
        <w:t>说明</w:t>
      </w:r>
      <w:r>
        <w:rPr>
          <w:rFonts w:hint="eastAsia" w:ascii="仿宋_GB2312" w:hAnsi="仿宋" w:eastAsia="仿宋_GB2312" w:cs="仿宋"/>
          <w:b/>
          <w:bCs/>
          <w:sz w:val="28"/>
          <w:szCs w:val="28"/>
          <w:shd w:val="clear" w:color="auto" w:fill="FFFFFF"/>
          <w:lang w:eastAsia="zh-CN"/>
        </w:rPr>
        <w:t>：</w:t>
      </w:r>
      <w:r>
        <w:rPr>
          <w:rFonts w:hint="eastAsia" w:ascii="仿宋_GB2312" w:hAnsi="仿宋" w:eastAsia="仿宋_GB2312" w:cs="仿宋"/>
          <w:b/>
          <w:bCs/>
          <w:sz w:val="28"/>
          <w:szCs w:val="28"/>
          <w:shd w:val="clear" w:color="auto" w:fill="FFFFFF"/>
        </w:rPr>
        <w:t>在编制年初预算时，还有相当一部分转移支付资金上级没有下达，</w:t>
      </w:r>
      <w:r>
        <w:rPr>
          <w:rFonts w:hint="eastAsia" w:ascii="仿宋_GB2312" w:hAnsi="仿宋" w:eastAsia="仿宋_GB2312" w:cs="仿宋"/>
          <w:b/>
          <w:bCs/>
          <w:sz w:val="28"/>
          <w:szCs w:val="28"/>
        </w:rPr>
        <w:t>都是</w:t>
      </w:r>
      <w:r>
        <w:rPr>
          <w:rFonts w:hint="eastAsia" w:ascii="仿宋_GB2312" w:hAnsi="仿宋" w:eastAsia="仿宋_GB2312" w:cs="仿宋"/>
          <w:b/>
          <w:bCs/>
          <w:sz w:val="28"/>
          <w:szCs w:val="28"/>
          <w:shd w:val="clear" w:color="auto" w:fill="FFFFFF"/>
        </w:rPr>
        <w:t>在年度预算执行中</w:t>
      </w:r>
      <w:r>
        <w:rPr>
          <w:rFonts w:hint="eastAsia" w:ascii="仿宋_GB2312" w:hAnsi="仿宋" w:eastAsia="仿宋_GB2312" w:cs="仿宋"/>
          <w:b/>
          <w:bCs/>
          <w:sz w:val="28"/>
          <w:szCs w:val="28"/>
        </w:rPr>
        <w:t>临时下拨。地方政府在编制年初预算时难以全面掌握上级财政转移支付资金的规模和种类，无法</w:t>
      </w:r>
      <w:r>
        <w:rPr>
          <w:rFonts w:hint="eastAsia" w:ascii="仿宋_GB2312" w:hAnsi="仿宋" w:eastAsia="仿宋_GB2312" w:cs="仿宋"/>
          <w:b/>
          <w:bCs/>
          <w:sz w:val="28"/>
          <w:szCs w:val="28"/>
          <w:shd w:val="clear" w:color="auto" w:fill="FFFFFF"/>
        </w:rPr>
        <w:t>全面</w:t>
      </w:r>
      <w:r>
        <w:rPr>
          <w:rFonts w:hint="eastAsia" w:ascii="仿宋_GB2312" w:hAnsi="仿宋" w:eastAsia="仿宋_GB2312" w:cs="仿宋"/>
          <w:b/>
          <w:bCs/>
          <w:sz w:val="28"/>
          <w:szCs w:val="28"/>
        </w:rPr>
        <w:t>准确地将上级分配的转移支付资金编入预算</w:t>
      </w:r>
      <w:r>
        <w:rPr>
          <w:rFonts w:hint="eastAsia" w:ascii="仿宋_GB2312" w:hAnsi="仿宋" w:eastAsia="仿宋_GB2312" w:cs="仿宋"/>
          <w:b/>
          <w:bCs/>
          <w:sz w:val="28"/>
          <w:szCs w:val="28"/>
          <w:shd w:val="clear" w:color="auto" w:fill="FFFFFF"/>
        </w:rPr>
        <w:t>。</w:t>
      </w:r>
      <w:r>
        <w:rPr>
          <w:rFonts w:hint="eastAsia" w:ascii="仿宋_GB2312" w:eastAsia="仿宋_GB2312"/>
          <w:b/>
          <w:bCs/>
          <w:sz w:val="28"/>
          <w:szCs w:val="28"/>
        </w:rPr>
        <w:t>这些因素在实际发生时，都需要相应调整支出预算。</w:t>
      </w:r>
    </w:p>
    <w:p>
      <w:pPr>
        <w:rPr>
          <w:rFonts w:hint="eastAsia" w:ascii="仿宋_GB2312" w:hAnsi="仿宋" w:eastAsia="仿宋_GB2312"/>
          <w:b/>
          <w:sz w:val="32"/>
          <w:szCs w:val="32"/>
        </w:rPr>
      </w:pPr>
    </w:p>
    <w:p>
      <w:pPr>
        <w:rPr>
          <w:rFonts w:hint="eastAsia" w:ascii="仿宋_GB2312" w:hAnsi="仿宋" w:eastAsia="仿宋_GB2312"/>
          <w:b/>
          <w:sz w:val="32"/>
          <w:szCs w:val="32"/>
        </w:rPr>
      </w:pPr>
      <w:r>
        <w:rPr>
          <w:rFonts w:hint="eastAsia" w:ascii="仿宋_GB2312" w:hAnsi="仿宋" w:eastAsia="仿宋_GB2312"/>
          <w:b/>
          <w:sz w:val="32"/>
          <w:szCs w:val="32"/>
        </w:rPr>
        <w:t>附表3：</w:t>
      </w:r>
    </w:p>
    <w:p>
      <w:pPr>
        <w:jc w:val="center"/>
        <w:rPr>
          <w:rFonts w:hint="eastAsia" w:ascii="方正小标宋简体" w:hAnsi="黑体" w:eastAsia="方正小标宋简体" w:cs="黑体"/>
          <w:kern w:val="0"/>
          <w:sz w:val="32"/>
          <w:szCs w:val="32"/>
        </w:rPr>
      </w:pPr>
      <w:r>
        <w:rPr>
          <w:rFonts w:hint="eastAsia" w:ascii="方正小标宋简体" w:hAnsi="黑体" w:eastAsia="方正小标宋简体" w:cs="黑体"/>
          <w:kern w:val="0"/>
          <w:sz w:val="32"/>
          <w:szCs w:val="32"/>
        </w:rPr>
        <w:t>2015年度全县一般公共预算收支决算汇总表</w:t>
      </w:r>
    </w:p>
    <w:p>
      <w:pPr>
        <w:rPr>
          <w:rFonts w:hint="eastAsia" w:ascii="仿宋" w:hAnsi="仿宋" w:eastAsia="仿宋" w:cs="仿宋"/>
          <w:kern w:val="0"/>
          <w:sz w:val="24"/>
        </w:rPr>
      </w:pPr>
      <w:r>
        <w:rPr>
          <w:rFonts w:hint="eastAsia" w:ascii="宋体" w:hAnsi="宋体"/>
          <w:kern w:val="0"/>
          <w:sz w:val="20"/>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单位：万元</w:t>
      </w:r>
    </w:p>
    <w:tbl>
      <w:tblPr>
        <w:tblStyle w:val="7"/>
        <w:tblW w:w="9360" w:type="dxa"/>
        <w:tblInd w:w="-345" w:type="dxa"/>
        <w:tblLayout w:type="fixed"/>
        <w:tblCellMar>
          <w:top w:w="15" w:type="dxa"/>
          <w:left w:w="15" w:type="dxa"/>
          <w:bottom w:w="15" w:type="dxa"/>
          <w:right w:w="15" w:type="dxa"/>
        </w:tblCellMar>
      </w:tblPr>
      <w:tblGrid>
        <w:gridCol w:w="3871"/>
        <w:gridCol w:w="989"/>
        <w:gridCol w:w="3511"/>
        <w:gridCol w:w="989"/>
      </w:tblGrid>
      <w:tr>
        <w:tblPrEx>
          <w:tblLayout w:type="fixed"/>
          <w:tblCellMar>
            <w:top w:w="15" w:type="dxa"/>
            <w:left w:w="15" w:type="dxa"/>
            <w:bottom w:w="15" w:type="dxa"/>
            <w:right w:w="15" w:type="dxa"/>
          </w:tblCellMar>
        </w:tblPrEx>
        <w:trPr>
          <w:trHeight w:val="285" w:hRule="atLeast"/>
        </w:trPr>
        <w:tc>
          <w:tcPr>
            <w:tcW w:w="3871" w:type="dxa"/>
            <w:tcBorders>
              <w:top w:val="single" w:color="000000" w:sz="4" w:space="0"/>
              <w:left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b/>
                <w:kern w:val="0"/>
                <w:sz w:val="24"/>
              </w:rPr>
            </w:pPr>
            <w:r>
              <w:rPr>
                <w:rFonts w:hint="eastAsia" w:ascii="仿宋_GB2312" w:hAnsi="仿宋" w:eastAsia="仿宋_GB2312" w:cs="仿宋"/>
                <w:b/>
                <w:kern w:val="0"/>
                <w:sz w:val="24"/>
              </w:rPr>
              <w:t>预算科目</w:t>
            </w:r>
          </w:p>
        </w:tc>
        <w:tc>
          <w:tcPr>
            <w:tcW w:w="989" w:type="dxa"/>
            <w:tcBorders>
              <w:top w:val="single" w:color="000000" w:sz="4" w:space="0"/>
            </w:tcBorders>
            <w:shd w:val="clear" w:color="auto" w:fill="FFFFFF"/>
            <w:vAlign w:val="center"/>
          </w:tcPr>
          <w:p>
            <w:pPr>
              <w:widowControl/>
              <w:jc w:val="center"/>
              <w:rPr>
                <w:rFonts w:hint="eastAsia" w:ascii="仿宋_GB2312" w:hAnsi="仿宋" w:eastAsia="仿宋_GB2312" w:cs="仿宋"/>
                <w:b/>
                <w:kern w:val="0"/>
                <w:sz w:val="24"/>
              </w:rPr>
            </w:pPr>
            <w:r>
              <w:rPr>
                <w:rFonts w:hint="eastAsia" w:ascii="仿宋_GB2312" w:hAnsi="仿宋" w:eastAsia="仿宋_GB2312" w:cs="仿宋"/>
                <w:b/>
                <w:kern w:val="0"/>
                <w:sz w:val="24"/>
              </w:rPr>
              <w:t>决算数</w:t>
            </w:r>
          </w:p>
        </w:tc>
        <w:tc>
          <w:tcPr>
            <w:tcW w:w="3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b/>
                <w:kern w:val="0"/>
                <w:sz w:val="24"/>
              </w:rPr>
            </w:pPr>
            <w:r>
              <w:rPr>
                <w:rFonts w:hint="eastAsia" w:ascii="仿宋_GB2312" w:hAnsi="仿宋" w:eastAsia="仿宋_GB2312" w:cs="仿宋"/>
                <w:b/>
                <w:kern w:val="0"/>
                <w:sz w:val="24"/>
              </w:rPr>
              <w:t>预算科目</w:t>
            </w:r>
          </w:p>
        </w:tc>
        <w:tc>
          <w:tcPr>
            <w:tcW w:w="989" w:type="dxa"/>
            <w:tcBorders>
              <w:top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b/>
                <w:kern w:val="0"/>
                <w:sz w:val="24"/>
              </w:rPr>
            </w:pPr>
            <w:r>
              <w:rPr>
                <w:rFonts w:hint="eastAsia" w:ascii="仿宋_GB2312" w:hAnsi="仿宋" w:eastAsia="仿宋_GB2312" w:cs="仿宋"/>
                <w:b/>
                <w:kern w:val="0"/>
                <w:sz w:val="24"/>
              </w:rPr>
              <w:t>决算数</w:t>
            </w:r>
          </w:p>
        </w:tc>
      </w:tr>
      <w:tr>
        <w:tblPrEx>
          <w:tblLayout w:type="fixed"/>
          <w:tblCellMar>
            <w:top w:w="15" w:type="dxa"/>
            <w:left w:w="15" w:type="dxa"/>
            <w:bottom w:w="15" w:type="dxa"/>
            <w:right w:w="15" w:type="dxa"/>
          </w:tblCellMar>
        </w:tblPrEx>
        <w:trPr>
          <w:trHeight w:val="243"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b/>
                <w:kern w:val="0"/>
                <w:sz w:val="24"/>
              </w:rPr>
            </w:pPr>
            <w:r>
              <w:rPr>
                <w:rFonts w:hint="eastAsia" w:ascii="仿宋_GB2312" w:hAnsi="仿宋" w:eastAsia="仿宋_GB2312" w:cs="仿宋"/>
                <w:b/>
                <w:kern w:val="0"/>
                <w:sz w:val="24"/>
              </w:rPr>
              <w:t>公共财政收入</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42000</w:t>
            </w:r>
          </w:p>
        </w:tc>
        <w:tc>
          <w:tcPr>
            <w:tcW w:w="3511"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b/>
                <w:kern w:val="0"/>
                <w:sz w:val="24"/>
              </w:rPr>
            </w:pPr>
            <w:r>
              <w:rPr>
                <w:rFonts w:hint="eastAsia" w:ascii="仿宋_GB2312" w:hAnsi="仿宋" w:eastAsia="仿宋_GB2312" w:cs="仿宋"/>
                <w:b/>
                <w:kern w:val="0"/>
                <w:sz w:val="24"/>
              </w:rPr>
              <w:t>公共财政支出</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334672</w:t>
            </w:r>
          </w:p>
        </w:tc>
      </w:tr>
      <w:tr>
        <w:tblPrEx>
          <w:tblLayout w:type="fixed"/>
        </w:tblPrEx>
        <w:trPr>
          <w:trHeight w:val="205"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b/>
                <w:kern w:val="0"/>
                <w:sz w:val="24"/>
              </w:rPr>
            </w:pPr>
            <w:r>
              <w:rPr>
                <w:rFonts w:hint="eastAsia" w:ascii="仿宋_GB2312" w:hAnsi="仿宋" w:eastAsia="仿宋_GB2312" w:cs="仿宋"/>
                <w:b/>
                <w:kern w:val="0"/>
                <w:sz w:val="24"/>
              </w:rPr>
              <w:t>上级补助收入</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2</w:t>
            </w:r>
            <w:r>
              <w:rPr>
                <w:rFonts w:hint="eastAsia" w:ascii="仿宋_GB2312" w:hAnsi="仿宋" w:eastAsia="仿宋_GB2312" w:cs="仿宋"/>
                <w:kern w:val="0"/>
                <w:sz w:val="24"/>
                <w:lang w:val="en-US" w:eastAsia="zh-CN"/>
              </w:rPr>
              <w:t>80992</w:t>
            </w:r>
          </w:p>
        </w:tc>
        <w:tc>
          <w:tcPr>
            <w:tcW w:w="3511"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b/>
                <w:kern w:val="0"/>
                <w:sz w:val="24"/>
              </w:rPr>
            </w:pPr>
            <w:r>
              <w:rPr>
                <w:rFonts w:hint="eastAsia" w:ascii="仿宋_GB2312" w:hAnsi="仿宋" w:eastAsia="仿宋_GB2312" w:cs="仿宋"/>
                <w:b/>
                <w:kern w:val="0"/>
                <w:sz w:val="24"/>
              </w:rPr>
              <w:t>补助下级支出</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CellMar>
            <w:top w:w="15" w:type="dxa"/>
            <w:left w:w="15" w:type="dxa"/>
            <w:bottom w:w="15" w:type="dxa"/>
            <w:right w:w="15" w:type="dxa"/>
          </w:tblCellMar>
        </w:tblPrEx>
        <w:trPr>
          <w:trHeight w:val="285"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b/>
                <w:kern w:val="0"/>
                <w:sz w:val="24"/>
              </w:rPr>
            </w:pPr>
            <w:r>
              <w:rPr>
                <w:rFonts w:hint="eastAsia" w:ascii="仿宋_GB2312" w:hAnsi="仿宋" w:eastAsia="仿宋_GB2312" w:cs="仿宋"/>
                <w:b/>
                <w:kern w:val="0"/>
                <w:sz w:val="24"/>
              </w:rPr>
              <w:t>返还性收入</w:t>
            </w:r>
          </w:p>
        </w:tc>
        <w:tc>
          <w:tcPr>
            <w:tcW w:w="989" w:type="dxa"/>
            <w:tcBorders>
              <w:top w:val="single" w:color="000000" w:sz="4" w:space="0"/>
              <w:left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30</w:t>
            </w:r>
            <w:r>
              <w:rPr>
                <w:rFonts w:hint="eastAsia" w:ascii="仿宋_GB2312" w:hAnsi="仿宋" w:eastAsia="仿宋_GB2312" w:cs="仿宋"/>
                <w:kern w:val="0"/>
                <w:sz w:val="24"/>
                <w:lang w:val="en-US" w:eastAsia="zh-CN"/>
              </w:rPr>
              <w:t>31</w:t>
            </w:r>
          </w:p>
        </w:tc>
        <w:tc>
          <w:tcPr>
            <w:tcW w:w="3511"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b/>
                <w:kern w:val="0"/>
                <w:sz w:val="24"/>
              </w:rPr>
            </w:pPr>
            <w:r>
              <w:rPr>
                <w:rFonts w:hint="eastAsia" w:ascii="仿宋_GB2312" w:hAnsi="仿宋" w:eastAsia="仿宋_GB2312" w:cs="仿宋"/>
                <w:b/>
                <w:kern w:val="0"/>
                <w:sz w:val="24"/>
              </w:rPr>
              <w:t>返还性支出</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CellMar>
            <w:top w:w="15" w:type="dxa"/>
            <w:left w:w="15" w:type="dxa"/>
            <w:bottom w:w="15" w:type="dxa"/>
            <w:right w:w="15" w:type="dxa"/>
          </w:tblCellMar>
        </w:tblPrEx>
        <w:trPr>
          <w:trHeight w:val="288"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增值税和消费税税收返还收入</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895</w:t>
            </w:r>
          </w:p>
        </w:tc>
        <w:tc>
          <w:tcPr>
            <w:tcW w:w="3511"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增值税和消费税税收返还支出</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PrEx>
        <w:trPr>
          <w:trHeight w:val="285"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所得税基数返还收入</w:t>
            </w:r>
          </w:p>
        </w:tc>
        <w:tc>
          <w:tcPr>
            <w:tcW w:w="989" w:type="dxa"/>
            <w:tcBorders>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816</w:t>
            </w:r>
          </w:p>
        </w:tc>
        <w:tc>
          <w:tcPr>
            <w:tcW w:w="3511"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所得税基数返还支出</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CellMar>
            <w:top w:w="15" w:type="dxa"/>
            <w:left w:w="15" w:type="dxa"/>
            <w:bottom w:w="15" w:type="dxa"/>
            <w:right w:w="15" w:type="dxa"/>
          </w:tblCellMar>
        </w:tblPrEx>
        <w:trPr>
          <w:trHeight w:val="285"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成品油价格和税费改革税收返还收入</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1266</w:t>
            </w:r>
          </w:p>
        </w:tc>
        <w:tc>
          <w:tcPr>
            <w:tcW w:w="3511"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成品油价格和税费改革税收返还支出</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CellMar>
            <w:top w:w="15" w:type="dxa"/>
            <w:left w:w="15" w:type="dxa"/>
            <w:bottom w:w="15" w:type="dxa"/>
            <w:right w:w="15" w:type="dxa"/>
          </w:tblCellMar>
        </w:tblPrEx>
        <w:trPr>
          <w:trHeight w:val="285"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其他税收返还收入</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54</w:t>
            </w:r>
          </w:p>
        </w:tc>
        <w:tc>
          <w:tcPr>
            <w:tcW w:w="3511"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其他税收返还支出</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PrEx>
        <w:trPr>
          <w:trHeight w:val="285"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b/>
                <w:kern w:val="0"/>
                <w:sz w:val="24"/>
              </w:rPr>
            </w:pPr>
            <w:r>
              <w:rPr>
                <w:rFonts w:hint="eastAsia" w:ascii="仿宋_GB2312" w:hAnsi="仿宋" w:eastAsia="仿宋_GB2312" w:cs="仿宋"/>
                <w:b/>
                <w:kern w:val="0"/>
                <w:sz w:val="24"/>
              </w:rPr>
              <w:t>一般性转移支付收入</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1</w:t>
            </w:r>
            <w:r>
              <w:rPr>
                <w:rFonts w:hint="eastAsia" w:ascii="仿宋_GB2312" w:hAnsi="仿宋" w:eastAsia="仿宋_GB2312" w:cs="仿宋"/>
                <w:kern w:val="0"/>
                <w:sz w:val="24"/>
                <w:lang w:val="en-US" w:eastAsia="zh-CN"/>
              </w:rPr>
              <w:t>78511</w:t>
            </w:r>
          </w:p>
        </w:tc>
        <w:tc>
          <w:tcPr>
            <w:tcW w:w="3511"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b/>
                <w:kern w:val="0"/>
                <w:sz w:val="24"/>
              </w:rPr>
            </w:pPr>
            <w:r>
              <w:rPr>
                <w:rFonts w:hint="eastAsia" w:ascii="仿宋_GB2312" w:hAnsi="仿宋" w:eastAsia="仿宋_GB2312" w:cs="仿宋"/>
                <w:b/>
                <w:kern w:val="0"/>
                <w:sz w:val="24"/>
              </w:rPr>
              <w:t>一般性转移支付支出</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CellMar>
            <w:top w:w="15" w:type="dxa"/>
            <w:left w:w="15" w:type="dxa"/>
            <w:bottom w:w="15" w:type="dxa"/>
            <w:right w:w="15" w:type="dxa"/>
          </w:tblCellMar>
        </w:tblPrEx>
        <w:trPr>
          <w:trHeight w:val="285"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体制补助收入</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c>
          <w:tcPr>
            <w:tcW w:w="3511"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体制补助支出</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CellMar>
            <w:top w:w="15" w:type="dxa"/>
            <w:left w:w="15" w:type="dxa"/>
            <w:bottom w:w="15" w:type="dxa"/>
            <w:right w:w="15" w:type="dxa"/>
          </w:tblCellMar>
        </w:tblPrEx>
        <w:trPr>
          <w:trHeight w:val="285"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均衡性转移支付收入</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113814</w:t>
            </w:r>
          </w:p>
        </w:tc>
        <w:tc>
          <w:tcPr>
            <w:tcW w:w="3511"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均衡性转移支付支出</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PrEx>
        <w:trPr>
          <w:trHeight w:val="285"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民族地区转移支付补助收入</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3960</w:t>
            </w:r>
          </w:p>
        </w:tc>
        <w:tc>
          <w:tcPr>
            <w:tcW w:w="3511"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民族地区转移支付支出</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CellMar>
            <w:top w:w="15" w:type="dxa"/>
            <w:left w:w="15" w:type="dxa"/>
            <w:bottom w:w="15" w:type="dxa"/>
            <w:right w:w="15" w:type="dxa"/>
          </w:tblCellMar>
        </w:tblPrEx>
        <w:trPr>
          <w:trHeight w:val="285"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调整工资转移支付补助收入</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c>
          <w:tcPr>
            <w:tcW w:w="3511"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调整工资转移支付支出</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CellMar>
            <w:top w:w="15" w:type="dxa"/>
            <w:left w:w="15" w:type="dxa"/>
            <w:bottom w:w="15" w:type="dxa"/>
            <w:right w:w="15" w:type="dxa"/>
          </w:tblCellMar>
        </w:tblPrEx>
        <w:trPr>
          <w:trHeight w:val="285"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农村税费改革转移支付收入</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c>
          <w:tcPr>
            <w:tcW w:w="3511"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农村税费改革转移支付支出</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PrEx>
        <w:trPr>
          <w:trHeight w:val="285"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县级基本财力保障机制奖补资金收入</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c>
          <w:tcPr>
            <w:tcW w:w="3511"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县级基本财力保障机制奖补资金支出</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CellMar>
            <w:top w:w="15" w:type="dxa"/>
            <w:left w:w="15" w:type="dxa"/>
            <w:bottom w:w="15" w:type="dxa"/>
            <w:right w:w="15" w:type="dxa"/>
          </w:tblCellMar>
        </w:tblPrEx>
        <w:trPr>
          <w:trHeight w:val="285"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结算补助收入</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3676</w:t>
            </w:r>
          </w:p>
        </w:tc>
        <w:tc>
          <w:tcPr>
            <w:tcW w:w="3511"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结算补助支出</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CellMar>
            <w:top w:w="15" w:type="dxa"/>
            <w:left w:w="15" w:type="dxa"/>
            <w:bottom w:w="15" w:type="dxa"/>
            <w:right w:w="15" w:type="dxa"/>
          </w:tblCellMar>
        </w:tblPrEx>
        <w:trPr>
          <w:trHeight w:val="285"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成品油价格和税费改革转移支付补助收入</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128</w:t>
            </w:r>
          </w:p>
        </w:tc>
        <w:tc>
          <w:tcPr>
            <w:tcW w:w="3511"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成品油价格和税费改革转移支付补助支出</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PrEx>
        <w:trPr>
          <w:trHeight w:val="285"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lang w:eastAsia="zh-CN"/>
              </w:rPr>
              <w:t>基层公检法司</w:t>
            </w:r>
            <w:r>
              <w:rPr>
                <w:rFonts w:hint="eastAsia" w:ascii="仿宋_GB2312" w:hAnsi="仿宋" w:eastAsia="仿宋_GB2312" w:cs="仿宋"/>
                <w:kern w:val="0"/>
                <w:sz w:val="24"/>
              </w:rPr>
              <w:t>转移支付收入</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2227</w:t>
            </w:r>
          </w:p>
        </w:tc>
        <w:tc>
          <w:tcPr>
            <w:tcW w:w="3511"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公共安全转移支付支出</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CellMar>
            <w:top w:w="15" w:type="dxa"/>
            <w:left w:w="15" w:type="dxa"/>
            <w:bottom w:w="15" w:type="dxa"/>
            <w:right w:w="15" w:type="dxa"/>
          </w:tblCellMar>
        </w:tblPrEx>
        <w:trPr>
          <w:trHeight w:val="285"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lang w:eastAsia="zh-CN"/>
              </w:rPr>
              <w:t>义务</w:t>
            </w:r>
            <w:r>
              <w:rPr>
                <w:rFonts w:hint="eastAsia" w:ascii="仿宋_GB2312" w:hAnsi="仿宋" w:eastAsia="仿宋_GB2312" w:cs="仿宋"/>
                <w:kern w:val="0"/>
                <w:sz w:val="24"/>
              </w:rPr>
              <w:t>教育</w:t>
            </w:r>
            <w:r>
              <w:rPr>
                <w:rFonts w:hint="eastAsia" w:ascii="仿宋_GB2312" w:hAnsi="仿宋" w:eastAsia="仿宋_GB2312" w:cs="仿宋"/>
                <w:kern w:val="0"/>
                <w:sz w:val="24"/>
                <w:lang w:eastAsia="zh-CN"/>
              </w:rPr>
              <w:t>等</w:t>
            </w:r>
            <w:r>
              <w:rPr>
                <w:rFonts w:hint="eastAsia" w:ascii="仿宋_GB2312" w:hAnsi="仿宋" w:eastAsia="仿宋_GB2312" w:cs="仿宋"/>
                <w:kern w:val="0"/>
                <w:sz w:val="24"/>
              </w:rPr>
              <w:t>转移支付收入</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2839</w:t>
            </w:r>
          </w:p>
        </w:tc>
        <w:tc>
          <w:tcPr>
            <w:tcW w:w="3511"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教育转移支付支出</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CellMar>
            <w:top w:w="15" w:type="dxa"/>
            <w:left w:w="15" w:type="dxa"/>
            <w:bottom w:w="15" w:type="dxa"/>
            <w:right w:w="15" w:type="dxa"/>
          </w:tblCellMar>
        </w:tblPrEx>
        <w:trPr>
          <w:trHeight w:val="285"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lang w:eastAsia="zh-CN"/>
              </w:rPr>
              <w:t>基本养老保险</w:t>
            </w:r>
            <w:r>
              <w:rPr>
                <w:rFonts w:hint="eastAsia" w:ascii="仿宋_GB2312" w:hAnsi="仿宋" w:eastAsia="仿宋_GB2312" w:cs="仿宋"/>
                <w:kern w:val="0"/>
                <w:sz w:val="24"/>
              </w:rPr>
              <w:t>和</w:t>
            </w:r>
            <w:r>
              <w:rPr>
                <w:rFonts w:hint="eastAsia" w:ascii="仿宋_GB2312" w:hAnsi="仿宋" w:eastAsia="仿宋_GB2312" w:cs="仿宋"/>
                <w:kern w:val="0"/>
                <w:sz w:val="24"/>
                <w:lang w:eastAsia="zh-CN"/>
              </w:rPr>
              <w:t>低保等</w:t>
            </w:r>
            <w:r>
              <w:rPr>
                <w:rFonts w:hint="eastAsia" w:ascii="仿宋_GB2312" w:hAnsi="仿宋" w:eastAsia="仿宋_GB2312" w:cs="仿宋"/>
                <w:kern w:val="0"/>
                <w:sz w:val="24"/>
              </w:rPr>
              <w:t>转移支付收入</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1</w:t>
            </w:r>
            <w:r>
              <w:rPr>
                <w:rFonts w:hint="eastAsia" w:ascii="仿宋_GB2312" w:hAnsi="仿宋" w:eastAsia="仿宋_GB2312" w:cs="仿宋"/>
                <w:kern w:val="0"/>
                <w:sz w:val="24"/>
                <w:lang w:val="en-US" w:eastAsia="zh-CN"/>
              </w:rPr>
              <w:t>0978</w:t>
            </w:r>
          </w:p>
        </w:tc>
        <w:tc>
          <w:tcPr>
            <w:tcW w:w="3511"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社会保障和就业转移支付支出</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PrEx>
        <w:trPr>
          <w:trHeight w:val="285"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lang w:eastAsia="zh-CN"/>
              </w:rPr>
              <w:t>新型农村合作</w:t>
            </w:r>
            <w:r>
              <w:rPr>
                <w:rFonts w:hint="eastAsia" w:ascii="仿宋_GB2312" w:hAnsi="仿宋" w:eastAsia="仿宋_GB2312" w:cs="仿宋"/>
                <w:kern w:val="0"/>
                <w:sz w:val="24"/>
              </w:rPr>
              <w:t>医疗</w:t>
            </w:r>
            <w:r>
              <w:rPr>
                <w:rFonts w:hint="eastAsia" w:ascii="仿宋_GB2312" w:hAnsi="仿宋" w:eastAsia="仿宋_GB2312" w:cs="仿宋"/>
                <w:kern w:val="0"/>
                <w:sz w:val="24"/>
                <w:lang w:eastAsia="zh-CN"/>
              </w:rPr>
              <w:t>等</w:t>
            </w:r>
            <w:r>
              <w:rPr>
                <w:rFonts w:hint="eastAsia" w:ascii="仿宋_GB2312" w:hAnsi="仿宋" w:eastAsia="仿宋_GB2312" w:cs="仿宋"/>
                <w:kern w:val="0"/>
                <w:sz w:val="24"/>
              </w:rPr>
              <w:t>转移支付收入</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32110</w:t>
            </w:r>
          </w:p>
        </w:tc>
        <w:tc>
          <w:tcPr>
            <w:tcW w:w="3511"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医疗卫生转移支付支出</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CellMar>
            <w:top w:w="15" w:type="dxa"/>
            <w:left w:w="15" w:type="dxa"/>
            <w:bottom w:w="15" w:type="dxa"/>
            <w:right w:w="15" w:type="dxa"/>
          </w:tblCellMar>
        </w:tblPrEx>
        <w:trPr>
          <w:trHeight w:val="285"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农</w:t>
            </w:r>
            <w:r>
              <w:rPr>
                <w:rFonts w:hint="eastAsia" w:ascii="仿宋_GB2312" w:hAnsi="仿宋" w:eastAsia="仿宋_GB2312" w:cs="仿宋"/>
                <w:kern w:val="0"/>
                <w:sz w:val="24"/>
                <w:lang w:eastAsia="zh-CN"/>
              </w:rPr>
              <w:t>村综合改革</w:t>
            </w:r>
            <w:r>
              <w:rPr>
                <w:rFonts w:hint="eastAsia" w:ascii="仿宋_GB2312" w:hAnsi="仿宋" w:eastAsia="仿宋_GB2312" w:cs="仿宋"/>
                <w:kern w:val="0"/>
                <w:sz w:val="24"/>
              </w:rPr>
              <w:t>转移支付收入</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1</w:t>
            </w:r>
            <w:r>
              <w:rPr>
                <w:rFonts w:hint="eastAsia" w:ascii="仿宋_GB2312" w:hAnsi="仿宋" w:eastAsia="仿宋_GB2312" w:cs="仿宋"/>
                <w:kern w:val="0"/>
                <w:sz w:val="24"/>
                <w:lang w:val="en-US" w:eastAsia="zh-CN"/>
              </w:rPr>
              <w:t>000</w:t>
            </w:r>
          </w:p>
        </w:tc>
        <w:tc>
          <w:tcPr>
            <w:tcW w:w="3511"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农林水转移支付支出</w:t>
            </w:r>
          </w:p>
        </w:tc>
        <w:tc>
          <w:tcPr>
            <w:tcW w:w="989" w:type="dxa"/>
            <w:tcBorders>
              <w:top w:val="single" w:color="000000" w:sz="4" w:space="0"/>
              <w:left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CellMar>
            <w:top w:w="15" w:type="dxa"/>
            <w:left w:w="15" w:type="dxa"/>
            <w:bottom w:w="15" w:type="dxa"/>
            <w:right w:w="15" w:type="dxa"/>
          </w:tblCellMar>
        </w:tblPrEx>
        <w:trPr>
          <w:trHeight w:val="285" w:hRule="atLeast"/>
        </w:trPr>
        <w:tc>
          <w:tcPr>
            <w:tcW w:w="3871" w:type="dxa"/>
            <w:tcBorders>
              <w:top w:val="single" w:color="000000" w:sz="4" w:space="0"/>
              <w:left w:val="single" w:color="000000" w:sz="4" w:space="0"/>
              <w:bottom w:val="single" w:color="auto"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产粮(油)大县奖励资金收入</w:t>
            </w:r>
          </w:p>
        </w:tc>
        <w:tc>
          <w:tcPr>
            <w:tcW w:w="989"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7779</w:t>
            </w:r>
          </w:p>
        </w:tc>
        <w:tc>
          <w:tcPr>
            <w:tcW w:w="3511" w:type="dxa"/>
            <w:tcBorders>
              <w:top w:val="single" w:color="000000" w:sz="4" w:space="0"/>
              <w:bottom w:val="single" w:color="auto"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产粮(油)大县奖励资金支出</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PrEx>
        <w:trPr>
          <w:trHeight w:val="285" w:hRule="atLeast"/>
        </w:trPr>
        <w:tc>
          <w:tcPr>
            <w:tcW w:w="3871" w:type="dxa"/>
            <w:tcBorders>
              <w:top w:val="single" w:color="auto" w:sz="4" w:space="0"/>
              <w:left w:val="single" w:color="auto" w:sz="4" w:space="0"/>
              <w:bottom w:val="single" w:color="auto"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重点生态功能区转移支付收入</w:t>
            </w:r>
          </w:p>
        </w:tc>
        <w:tc>
          <w:tcPr>
            <w:tcW w:w="989"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c>
          <w:tcPr>
            <w:tcW w:w="3511" w:type="dxa"/>
            <w:tcBorders>
              <w:top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重点生态功能区转移支付支出</w:t>
            </w:r>
          </w:p>
        </w:tc>
        <w:tc>
          <w:tcPr>
            <w:tcW w:w="989" w:type="dxa"/>
            <w:tcBorders>
              <w:left w:val="single" w:color="auto"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CellMar>
            <w:top w:w="15" w:type="dxa"/>
            <w:left w:w="15" w:type="dxa"/>
            <w:bottom w:w="15" w:type="dxa"/>
            <w:right w:w="15" w:type="dxa"/>
          </w:tblCellMar>
        </w:tblPrEx>
        <w:trPr>
          <w:trHeight w:val="285" w:hRule="atLeast"/>
        </w:trPr>
        <w:tc>
          <w:tcPr>
            <w:tcW w:w="3871" w:type="dxa"/>
            <w:tcBorders>
              <w:top w:val="single" w:color="auto"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其他一般性转移支付收入</w:t>
            </w:r>
          </w:p>
        </w:tc>
        <w:tc>
          <w:tcPr>
            <w:tcW w:w="989" w:type="dxa"/>
            <w:tcBorders>
              <w:top w:val="single" w:color="auto" w:sz="4" w:space="0"/>
              <w:left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c>
          <w:tcPr>
            <w:tcW w:w="3511" w:type="dxa"/>
            <w:tcBorders>
              <w:top w:val="single" w:color="auto"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其他一般性转移支付支出</w:t>
            </w:r>
          </w:p>
        </w:tc>
        <w:tc>
          <w:tcPr>
            <w:tcW w:w="989" w:type="dxa"/>
            <w:tcBorders>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CellMar>
            <w:top w:w="15" w:type="dxa"/>
            <w:left w:w="15" w:type="dxa"/>
            <w:bottom w:w="15" w:type="dxa"/>
            <w:right w:w="15" w:type="dxa"/>
          </w:tblCellMar>
        </w:tblPrEx>
        <w:trPr>
          <w:trHeight w:val="285"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b/>
                <w:kern w:val="0"/>
                <w:sz w:val="24"/>
              </w:rPr>
            </w:pPr>
            <w:r>
              <w:rPr>
                <w:rFonts w:hint="eastAsia" w:ascii="仿宋_GB2312" w:hAnsi="仿宋" w:eastAsia="仿宋_GB2312" w:cs="仿宋"/>
                <w:b/>
                <w:kern w:val="0"/>
                <w:sz w:val="24"/>
              </w:rPr>
              <w:t>专项转移支付收入</w:t>
            </w:r>
          </w:p>
        </w:tc>
        <w:tc>
          <w:tcPr>
            <w:tcW w:w="989"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99450</w:t>
            </w:r>
          </w:p>
        </w:tc>
        <w:tc>
          <w:tcPr>
            <w:tcW w:w="3511"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b/>
                <w:kern w:val="0"/>
                <w:sz w:val="24"/>
              </w:rPr>
            </w:pPr>
            <w:r>
              <w:rPr>
                <w:rFonts w:hint="eastAsia" w:ascii="仿宋_GB2312" w:hAnsi="仿宋" w:eastAsia="仿宋_GB2312" w:cs="仿宋"/>
                <w:b/>
                <w:kern w:val="0"/>
                <w:sz w:val="24"/>
              </w:rPr>
              <w:t>专项转移支付支出</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PrEx>
        <w:trPr>
          <w:trHeight w:val="285" w:hRule="atLeast"/>
        </w:trPr>
        <w:tc>
          <w:tcPr>
            <w:tcW w:w="3871" w:type="dxa"/>
            <w:tcBorders>
              <w:top w:val="single" w:color="000000" w:sz="4" w:space="0"/>
              <w:left w:val="single" w:color="000000" w:sz="4" w:space="0"/>
              <w:bottom w:val="single" w:color="auto" w:sz="4" w:space="0"/>
            </w:tcBorders>
            <w:shd w:val="clear" w:color="auto" w:fill="FFFFFF"/>
            <w:vAlign w:val="center"/>
          </w:tcPr>
          <w:p>
            <w:pPr>
              <w:widowControl/>
              <w:jc w:val="center"/>
              <w:rPr>
                <w:rFonts w:hint="eastAsia" w:ascii="仿宋_GB2312" w:hAnsi="仿宋" w:eastAsia="仿宋_GB2312" w:cs="仿宋"/>
                <w:b/>
                <w:kern w:val="0"/>
                <w:sz w:val="24"/>
              </w:rPr>
            </w:pPr>
            <w:r>
              <w:rPr>
                <w:rFonts w:hint="eastAsia" w:ascii="仿宋_GB2312" w:hAnsi="仿宋" w:eastAsia="仿宋_GB2312" w:cs="仿宋"/>
                <w:b/>
                <w:kern w:val="0"/>
                <w:sz w:val="24"/>
              </w:rPr>
              <w:t>地震灾后恢复重建补助收入</w:t>
            </w:r>
          </w:p>
        </w:tc>
        <w:tc>
          <w:tcPr>
            <w:tcW w:w="989"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c>
          <w:tcPr>
            <w:tcW w:w="3511" w:type="dxa"/>
            <w:tcBorders>
              <w:top w:val="single" w:color="000000" w:sz="4" w:space="0"/>
              <w:bottom w:val="single" w:color="auto" w:sz="4" w:space="0"/>
            </w:tcBorders>
            <w:shd w:val="clear" w:color="auto" w:fill="FFFFFF"/>
            <w:vAlign w:val="center"/>
          </w:tcPr>
          <w:p>
            <w:pPr>
              <w:widowControl/>
              <w:jc w:val="center"/>
              <w:rPr>
                <w:rFonts w:hint="eastAsia" w:ascii="仿宋_GB2312" w:hAnsi="仿宋" w:eastAsia="仿宋_GB2312" w:cs="仿宋"/>
                <w:b/>
                <w:kern w:val="0"/>
                <w:sz w:val="24"/>
              </w:rPr>
            </w:pPr>
            <w:r>
              <w:rPr>
                <w:rFonts w:hint="eastAsia" w:ascii="仿宋_GB2312" w:hAnsi="仿宋" w:eastAsia="仿宋_GB2312" w:cs="仿宋"/>
                <w:b/>
                <w:kern w:val="0"/>
                <w:sz w:val="24"/>
              </w:rPr>
              <w:t>地震灾后恢复重建补助支出</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CellMar>
            <w:top w:w="15" w:type="dxa"/>
            <w:left w:w="15" w:type="dxa"/>
            <w:bottom w:w="15" w:type="dxa"/>
            <w:right w:w="15" w:type="dxa"/>
          </w:tblCellMar>
        </w:tblPrEx>
        <w:trPr>
          <w:trHeight w:val="285" w:hRule="atLeast"/>
        </w:trPr>
        <w:tc>
          <w:tcPr>
            <w:tcW w:w="3871" w:type="dxa"/>
            <w:tcBorders>
              <w:top w:val="single" w:color="auto"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b/>
                <w:kern w:val="0"/>
                <w:sz w:val="24"/>
              </w:rPr>
            </w:pPr>
            <w:r>
              <w:rPr>
                <w:rFonts w:hint="eastAsia" w:ascii="仿宋_GB2312" w:hAnsi="仿宋" w:eastAsia="仿宋_GB2312" w:cs="仿宋"/>
                <w:b/>
                <w:kern w:val="0"/>
                <w:sz w:val="24"/>
              </w:rPr>
              <w:t>下级上解收入</w:t>
            </w:r>
          </w:p>
        </w:tc>
        <w:tc>
          <w:tcPr>
            <w:tcW w:w="989"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c>
          <w:tcPr>
            <w:tcW w:w="3511" w:type="dxa"/>
            <w:tcBorders>
              <w:top w:val="single" w:color="auto" w:sz="4" w:space="0"/>
              <w:bottom w:val="single" w:color="000000" w:sz="4" w:space="0"/>
            </w:tcBorders>
            <w:shd w:val="clear" w:color="auto" w:fill="FFFFFF"/>
            <w:vAlign w:val="center"/>
          </w:tcPr>
          <w:p>
            <w:pPr>
              <w:widowControl/>
              <w:jc w:val="center"/>
              <w:rPr>
                <w:rFonts w:hint="eastAsia" w:ascii="仿宋_GB2312" w:hAnsi="仿宋" w:eastAsia="仿宋_GB2312" w:cs="仿宋"/>
                <w:b/>
                <w:kern w:val="0"/>
                <w:sz w:val="24"/>
              </w:rPr>
            </w:pPr>
            <w:r>
              <w:rPr>
                <w:rFonts w:hint="eastAsia" w:ascii="仿宋_GB2312" w:hAnsi="仿宋" w:eastAsia="仿宋_GB2312" w:cs="仿宋"/>
                <w:b/>
                <w:kern w:val="0"/>
                <w:sz w:val="24"/>
              </w:rPr>
              <w:t>上解上级支出</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8749</w:t>
            </w:r>
          </w:p>
        </w:tc>
      </w:tr>
      <w:tr>
        <w:tblPrEx>
          <w:tblLayout w:type="fixed"/>
          <w:tblCellMar>
            <w:top w:w="15" w:type="dxa"/>
            <w:left w:w="15" w:type="dxa"/>
            <w:bottom w:w="15" w:type="dxa"/>
            <w:right w:w="15" w:type="dxa"/>
          </w:tblCellMar>
        </w:tblPrEx>
        <w:trPr>
          <w:trHeight w:val="285"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体制上解收入</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c>
          <w:tcPr>
            <w:tcW w:w="3511"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体制上解支出</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663</w:t>
            </w:r>
          </w:p>
        </w:tc>
      </w:tr>
      <w:tr>
        <w:tblPrEx>
          <w:tblLayout w:type="fixed"/>
        </w:tblPrEx>
        <w:trPr>
          <w:trHeight w:val="285"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eastAsia="zh-CN"/>
              </w:rPr>
              <w:t>出口退税专项上解支出</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c>
          <w:tcPr>
            <w:tcW w:w="3511"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lang w:eastAsia="zh-CN"/>
              </w:rPr>
              <w:t>出口退税专项上解支出</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lang w:val="en-US" w:eastAsia="zh-CN"/>
              </w:rPr>
            </w:pPr>
            <w:r>
              <w:rPr>
                <w:rFonts w:hint="eastAsia" w:ascii="仿宋_GB2312" w:hAnsi="仿宋" w:eastAsia="仿宋_GB2312" w:cs="仿宋"/>
                <w:kern w:val="0"/>
                <w:sz w:val="24"/>
                <w:lang w:val="en-US" w:eastAsia="zh-CN"/>
              </w:rPr>
              <w:t>58</w:t>
            </w:r>
          </w:p>
        </w:tc>
      </w:tr>
      <w:tr>
        <w:tblPrEx>
          <w:tblLayout w:type="fixed"/>
          <w:tblCellMar>
            <w:top w:w="15" w:type="dxa"/>
            <w:left w:w="15" w:type="dxa"/>
            <w:bottom w:w="15" w:type="dxa"/>
            <w:right w:w="15" w:type="dxa"/>
          </w:tblCellMar>
        </w:tblPrEx>
        <w:trPr>
          <w:trHeight w:val="285"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成品油价格和税费改革专项上解收入</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c>
          <w:tcPr>
            <w:tcW w:w="3511"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成品油价格和税费改革专项上解支出</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CellMar>
            <w:top w:w="15" w:type="dxa"/>
            <w:left w:w="15" w:type="dxa"/>
            <w:bottom w:w="15" w:type="dxa"/>
            <w:right w:w="15" w:type="dxa"/>
          </w:tblCellMar>
        </w:tblPrEx>
        <w:trPr>
          <w:trHeight w:val="285"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专项上解收入</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c>
          <w:tcPr>
            <w:tcW w:w="3511"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专项上解支出</w:t>
            </w:r>
          </w:p>
        </w:tc>
        <w:tc>
          <w:tcPr>
            <w:tcW w:w="989" w:type="dxa"/>
            <w:tcBorders>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8028</w:t>
            </w:r>
          </w:p>
        </w:tc>
      </w:tr>
      <w:tr>
        <w:tblPrEx>
          <w:tblLayout w:type="fixed"/>
        </w:tblPrEx>
        <w:trPr>
          <w:trHeight w:val="285"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b/>
                <w:kern w:val="0"/>
                <w:sz w:val="24"/>
              </w:rPr>
            </w:pPr>
            <w:r>
              <w:rPr>
                <w:rFonts w:hint="eastAsia" w:ascii="仿宋_GB2312" w:hAnsi="仿宋" w:eastAsia="仿宋_GB2312" w:cs="仿宋"/>
                <w:b/>
                <w:kern w:val="0"/>
                <w:sz w:val="24"/>
              </w:rPr>
              <w:t>计划单列市上解省收入</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c>
          <w:tcPr>
            <w:tcW w:w="3511"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b/>
                <w:kern w:val="0"/>
                <w:sz w:val="24"/>
              </w:rPr>
            </w:pPr>
            <w:r>
              <w:rPr>
                <w:rFonts w:hint="eastAsia" w:ascii="仿宋_GB2312" w:hAnsi="仿宋" w:eastAsia="仿宋_GB2312" w:cs="仿宋"/>
                <w:b/>
                <w:kern w:val="0"/>
                <w:sz w:val="24"/>
              </w:rPr>
              <w:t>省补助计划单列市支出</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CellMar>
            <w:top w:w="15" w:type="dxa"/>
            <w:left w:w="15" w:type="dxa"/>
            <w:bottom w:w="15" w:type="dxa"/>
            <w:right w:w="15" w:type="dxa"/>
          </w:tblCellMar>
        </w:tblPrEx>
        <w:trPr>
          <w:trHeight w:val="285"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b/>
                <w:kern w:val="0"/>
                <w:sz w:val="24"/>
              </w:rPr>
            </w:pPr>
            <w:r>
              <w:rPr>
                <w:rFonts w:hint="eastAsia" w:ascii="仿宋_GB2312" w:hAnsi="仿宋" w:eastAsia="仿宋_GB2312" w:cs="仿宋"/>
                <w:b/>
                <w:kern w:val="0"/>
                <w:sz w:val="24"/>
              </w:rPr>
              <w:t>债务收入</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c>
          <w:tcPr>
            <w:tcW w:w="3511"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b/>
                <w:kern w:val="0"/>
                <w:sz w:val="24"/>
              </w:rPr>
            </w:pPr>
            <w:r>
              <w:rPr>
                <w:rFonts w:hint="eastAsia" w:ascii="仿宋_GB2312" w:hAnsi="仿宋" w:eastAsia="仿宋_GB2312" w:cs="仿宋"/>
                <w:b/>
                <w:kern w:val="0"/>
                <w:sz w:val="24"/>
              </w:rPr>
              <w:t>债券还本支出</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CellMar>
            <w:top w:w="15" w:type="dxa"/>
            <w:left w:w="15" w:type="dxa"/>
            <w:bottom w:w="15" w:type="dxa"/>
            <w:right w:w="15" w:type="dxa"/>
          </w:tblCellMar>
        </w:tblPrEx>
        <w:trPr>
          <w:trHeight w:val="285"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地方政府债券收入</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c>
          <w:tcPr>
            <w:tcW w:w="3511"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地方政府债券还本</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PrEx>
        <w:trPr>
          <w:trHeight w:val="285"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地方向国外借款收入</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c>
          <w:tcPr>
            <w:tcW w:w="3511"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地方向国外借款还本</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CellMar>
            <w:top w:w="15" w:type="dxa"/>
            <w:left w:w="15" w:type="dxa"/>
            <w:bottom w:w="15" w:type="dxa"/>
            <w:right w:w="15" w:type="dxa"/>
          </w:tblCellMar>
        </w:tblPrEx>
        <w:trPr>
          <w:trHeight w:val="285"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b/>
                <w:kern w:val="0"/>
                <w:sz w:val="24"/>
              </w:rPr>
            </w:pPr>
            <w:r>
              <w:rPr>
                <w:rFonts w:hint="eastAsia" w:ascii="仿宋_GB2312" w:hAnsi="仿宋" w:eastAsia="仿宋_GB2312" w:cs="仿宋"/>
                <w:b/>
                <w:kern w:val="0"/>
                <w:sz w:val="24"/>
              </w:rPr>
              <w:t>债券转贷收入</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2500</w:t>
            </w:r>
          </w:p>
        </w:tc>
        <w:tc>
          <w:tcPr>
            <w:tcW w:w="3511"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b/>
                <w:kern w:val="0"/>
                <w:sz w:val="24"/>
              </w:rPr>
            </w:pPr>
            <w:r>
              <w:rPr>
                <w:rFonts w:hint="eastAsia" w:ascii="仿宋_GB2312" w:hAnsi="仿宋" w:eastAsia="仿宋_GB2312" w:cs="仿宋"/>
                <w:b/>
                <w:kern w:val="0"/>
                <w:sz w:val="24"/>
              </w:rPr>
              <w:t>债券转贷支出</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lang w:val="en-US" w:eastAsia="zh-CN"/>
              </w:rPr>
            </w:pPr>
            <w:r>
              <w:rPr>
                <w:rFonts w:hint="eastAsia" w:ascii="仿宋_GB2312" w:hAnsi="仿宋" w:eastAsia="仿宋_GB2312" w:cs="仿宋"/>
                <w:kern w:val="0"/>
                <w:sz w:val="24"/>
                <w:lang w:val="en-US" w:eastAsia="zh-CN"/>
              </w:rPr>
              <w:t>2500</w:t>
            </w:r>
          </w:p>
        </w:tc>
      </w:tr>
      <w:tr>
        <w:tblPrEx>
          <w:tblLayout w:type="fixed"/>
          <w:tblCellMar>
            <w:top w:w="15" w:type="dxa"/>
            <w:left w:w="15" w:type="dxa"/>
            <w:bottom w:w="15" w:type="dxa"/>
            <w:right w:w="15" w:type="dxa"/>
          </w:tblCellMar>
        </w:tblPrEx>
        <w:trPr>
          <w:trHeight w:val="285"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转贷地方政府债券收入</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2500</w:t>
            </w:r>
          </w:p>
        </w:tc>
        <w:tc>
          <w:tcPr>
            <w:tcW w:w="3511"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转贷地方政府债券支出</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lang w:val="en-US" w:eastAsia="zh-CN"/>
              </w:rPr>
            </w:pPr>
            <w:r>
              <w:rPr>
                <w:rFonts w:hint="eastAsia" w:ascii="仿宋_GB2312" w:hAnsi="仿宋" w:eastAsia="仿宋_GB2312" w:cs="仿宋"/>
                <w:kern w:val="0"/>
                <w:sz w:val="24"/>
                <w:lang w:val="en-US" w:eastAsia="zh-CN"/>
              </w:rPr>
              <w:t>2500</w:t>
            </w:r>
          </w:p>
        </w:tc>
      </w:tr>
      <w:tr>
        <w:tblPrEx>
          <w:tblLayout w:type="fixed"/>
        </w:tblPrEx>
        <w:trPr>
          <w:trHeight w:val="285"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转贷国外债务收入</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c>
          <w:tcPr>
            <w:tcW w:w="3511"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转贷国外债务支出</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CellMar>
            <w:top w:w="15" w:type="dxa"/>
            <w:left w:w="15" w:type="dxa"/>
            <w:bottom w:w="15" w:type="dxa"/>
            <w:right w:w="15" w:type="dxa"/>
          </w:tblCellMar>
        </w:tblPrEx>
        <w:trPr>
          <w:trHeight w:val="285"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b/>
                <w:kern w:val="0"/>
                <w:sz w:val="24"/>
              </w:rPr>
            </w:pPr>
            <w:r>
              <w:rPr>
                <w:rFonts w:hint="eastAsia" w:ascii="仿宋_GB2312" w:hAnsi="仿宋" w:eastAsia="仿宋_GB2312" w:cs="仿宋"/>
                <w:b/>
                <w:kern w:val="0"/>
                <w:sz w:val="24"/>
              </w:rPr>
              <w:t>上年结余</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43</w:t>
            </w:r>
          </w:p>
        </w:tc>
        <w:tc>
          <w:tcPr>
            <w:tcW w:w="3511" w:type="dxa"/>
            <w:tcBorders>
              <w:top w:val="single" w:color="000000" w:sz="4" w:space="0"/>
              <w:bottom w:val="single" w:color="000000" w:sz="4" w:space="0"/>
              <w:right w:val="single" w:color="000000" w:sz="4" w:space="0"/>
            </w:tcBorders>
            <w:shd w:val="clear" w:color="auto" w:fill="FFFFFF"/>
            <w:vAlign w:val="bottom"/>
          </w:tcPr>
          <w:p>
            <w:pPr>
              <w:widowControl/>
              <w:jc w:val="center"/>
              <w:rPr>
                <w:rFonts w:hint="eastAsia" w:ascii="仿宋_GB2312" w:hAnsi="仿宋" w:eastAsia="仿宋_GB2312" w:cs="仿宋"/>
                <w:kern w:val="0"/>
                <w:sz w:val="24"/>
              </w:rPr>
            </w:pPr>
          </w:p>
        </w:tc>
        <w:tc>
          <w:tcPr>
            <w:tcW w:w="989" w:type="dxa"/>
            <w:tcBorders>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CellMar>
            <w:top w:w="15" w:type="dxa"/>
            <w:left w:w="15" w:type="dxa"/>
            <w:bottom w:w="15" w:type="dxa"/>
            <w:right w:w="15" w:type="dxa"/>
          </w:tblCellMar>
        </w:tblPrEx>
        <w:trPr>
          <w:trHeight w:val="285"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b/>
                <w:kern w:val="0"/>
                <w:sz w:val="24"/>
              </w:rPr>
            </w:pPr>
            <w:r>
              <w:rPr>
                <w:rFonts w:hint="eastAsia" w:ascii="仿宋_GB2312" w:hAnsi="仿宋" w:eastAsia="仿宋_GB2312" w:cs="仿宋"/>
                <w:b/>
                <w:kern w:val="0"/>
                <w:sz w:val="24"/>
              </w:rPr>
              <w:t>调入预算稳定调节基金</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c>
          <w:tcPr>
            <w:tcW w:w="3511"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b/>
                <w:kern w:val="0"/>
                <w:sz w:val="24"/>
              </w:rPr>
            </w:pPr>
            <w:r>
              <w:rPr>
                <w:rFonts w:hint="eastAsia" w:ascii="仿宋_GB2312" w:hAnsi="仿宋" w:eastAsia="仿宋_GB2312" w:cs="仿宋"/>
                <w:b/>
                <w:kern w:val="0"/>
                <w:sz w:val="24"/>
              </w:rPr>
              <w:t>安排预算稳定调节基金</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lang w:val="en-US" w:eastAsia="zh-CN"/>
              </w:rPr>
            </w:pPr>
            <w:r>
              <w:rPr>
                <w:rFonts w:hint="eastAsia" w:ascii="仿宋_GB2312" w:hAnsi="仿宋" w:eastAsia="仿宋_GB2312" w:cs="仿宋"/>
                <w:kern w:val="0"/>
                <w:sz w:val="24"/>
                <w:lang w:val="en-US" w:eastAsia="zh-CN"/>
              </w:rPr>
              <w:t>83</w:t>
            </w:r>
          </w:p>
        </w:tc>
      </w:tr>
      <w:tr>
        <w:tblPrEx>
          <w:tblLayout w:type="fixed"/>
        </w:tblPrEx>
        <w:trPr>
          <w:trHeight w:val="285"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b/>
                <w:kern w:val="0"/>
                <w:sz w:val="24"/>
              </w:rPr>
            </w:pPr>
            <w:r>
              <w:rPr>
                <w:rFonts w:hint="eastAsia" w:ascii="仿宋_GB2312" w:hAnsi="仿宋" w:eastAsia="仿宋_GB2312" w:cs="仿宋"/>
                <w:b/>
                <w:kern w:val="0"/>
                <w:sz w:val="24"/>
              </w:rPr>
              <w:t>调入资金</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lang w:val="en-US" w:eastAsia="zh-CN"/>
              </w:rPr>
            </w:pPr>
            <w:r>
              <w:rPr>
                <w:rFonts w:hint="eastAsia" w:ascii="仿宋_GB2312" w:hAnsi="仿宋" w:eastAsia="仿宋_GB2312" w:cs="仿宋"/>
                <w:kern w:val="0"/>
                <w:sz w:val="24"/>
                <w:lang w:val="en-US" w:eastAsia="zh-CN"/>
              </w:rPr>
              <w:t>20469</w:t>
            </w:r>
          </w:p>
        </w:tc>
        <w:tc>
          <w:tcPr>
            <w:tcW w:w="3511"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b/>
                <w:kern w:val="0"/>
                <w:sz w:val="24"/>
              </w:rPr>
            </w:pPr>
            <w:r>
              <w:rPr>
                <w:rFonts w:hint="eastAsia" w:ascii="仿宋_GB2312" w:hAnsi="仿宋" w:eastAsia="仿宋_GB2312" w:cs="仿宋"/>
                <w:b/>
                <w:kern w:val="0"/>
                <w:sz w:val="24"/>
              </w:rPr>
              <w:t>调出资金</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CellMar>
            <w:top w:w="15" w:type="dxa"/>
            <w:left w:w="15" w:type="dxa"/>
            <w:bottom w:w="15" w:type="dxa"/>
            <w:right w:w="15" w:type="dxa"/>
          </w:tblCellMar>
        </w:tblPrEx>
        <w:trPr>
          <w:trHeight w:val="196"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1.政府性基金调入</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4600</w:t>
            </w:r>
          </w:p>
        </w:tc>
        <w:tc>
          <w:tcPr>
            <w:tcW w:w="3511"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b/>
                <w:kern w:val="0"/>
                <w:sz w:val="24"/>
              </w:rPr>
            </w:pPr>
            <w:r>
              <w:rPr>
                <w:rFonts w:hint="eastAsia" w:ascii="仿宋_GB2312" w:hAnsi="仿宋" w:eastAsia="仿宋_GB2312" w:cs="仿宋"/>
                <w:b/>
                <w:kern w:val="0"/>
                <w:sz w:val="24"/>
              </w:rPr>
              <w:t>年终结余</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CellMar>
            <w:top w:w="15" w:type="dxa"/>
            <w:left w:w="15" w:type="dxa"/>
            <w:bottom w:w="15" w:type="dxa"/>
            <w:right w:w="15" w:type="dxa"/>
          </w:tblCellMar>
        </w:tblPrEx>
        <w:trPr>
          <w:trHeight w:val="285"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2.国有资本经营预算调入</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c>
          <w:tcPr>
            <w:tcW w:w="3511"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b/>
                <w:kern w:val="0"/>
                <w:sz w:val="24"/>
              </w:rPr>
            </w:pPr>
            <w:r>
              <w:rPr>
                <w:rFonts w:hint="eastAsia" w:ascii="仿宋_GB2312" w:hAnsi="仿宋" w:eastAsia="仿宋_GB2312" w:cs="仿宋"/>
                <w:b/>
                <w:kern w:val="0"/>
                <w:sz w:val="24"/>
              </w:rPr>
              <w:t>减:结转下年的支出</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PrEx>
        <w:trPr>
          <w:trHeight w:val="285"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3.财政专户管理资金调入</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c>
          <w:tcPr>
            <w:tcW w:w="3511"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b/>
                <w:kern w:val="0"/>
                <w:sz w:val="24"/>
              </w:rPr>
            </w:pPr>
            <w:r>
              <w:rPr>
                <w:rFonts w:hint="eastAsia" w:ascii="仿宋_GB2312" w:hAnsi="仿宋" w:eastAsia="仿宋_GB2312" w:cs="仿宋"/>
                <w:b/>
                <w:kern w:val="0"/>
                <w:sz w:val="24"/>
              </w:rPr>
              <w:t>净结余</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CellMar>
            <w:top w:w="15" w:type="dxa"/>
            <w:left w:w="15" w:type="dxa"/>
            <w:bottom w:w="15" w:type="dxa"/>
            <w:right w:w="15" w:type="dxa"/>
          </w:tblCellMar>
        </w:tblPrEx>
        <w:trPr>
          <w:trHeight w:val="237"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4.其他调入</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c>
          <w:tcPr>
            <w:tcW w:w="3511" w:type="dxa"/>
            <w:tcBorders>
              <w:top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c>
          <w:tcPr>
            <w:tcW w:w="989" w:type="dxa"/>
            <w:tcBorders>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CellMar>
            <w:top w:w="15" w:type="dxa"/>
            <w:left w:w="15" w:type="dxa"/>
            <w:bottom w:w="15" w:type="dxa"/>
            <w:right w:w="15" w:type="dxa"/>
          </w:tblCellMar>
        </w:tblPrEx>
        <w:trPr>
          <w:trHeight w:val="285"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b/>
                <w:kern w:val="0"/>
                <w:sz w:val="24"/>
              </w:rPr>
            </w:pPr>
            <w:r>
              <w:rPr>
                <w:rFonts w:hint="eastAsia" w:ascii="仿宋_GB2312" w:hAnsi="仿宋" w:eastAsia="仿宋_GB2312" w:cs="仿宋"/>
                <w:b/>
                <w:kern w:val="0"/>
                <w:sz w:val="24"/>
              </w:rPr>
              <w:t>地震灾后恢复重建调入资金</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c>
          <w:tcPr>
            <w:tcW w:w="3511" w:type="dxa"/>
            <w:tcBorders>
              <w:top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c>
          <w:tcPr>
            <w:tcW w:w="989" w:type="dxa"/>
            <w:tcBorders>
              <w:top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PrEx>
        <w:trPr>
          <w:trHeight w:val="285"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预算稳定调节基金调入</w:t>
            </w:r>
          </w:p>
        </w:tc>
        <w:tc>
          <w:tcPr>
            <w:tcW w:w="989" w:type="dxa"/>
            <w:tcBorders>
              <w:top w:val="single" w:color="000000" w:sz="4" w:space="0"/>
              <w:left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c>
          <w:tcPr>
            <w:tcW w:w="3511" w:type="dxa"/>
            <w:tcBorders>
              <w:top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c>
          <w:tcPr>
            <w:tcW w:w="989" w:type="dxa"/>
            <w:tcBorders>
              <w:top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CellMar>
            <w:top w:w="15" w:type="dxa"/>
            <w:left w:w="15" w:type="dxa"/>
            <w:bottom w:w="15" w:type="dxa"/>
            <w:right w:w="15" w:type="dxa"/>
          </w:tblCellMar>
        </w:tblPrEx>
        <w:trPr>
          <w:trHeight w:val="122" w:hRule="atLeast"/>
        </w:trPr>
        <w:tc>
          <w:tcPr>
            <w:tcW w:w="3871"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b/>
                <w:bCs/>
                <w:kern w:val="0"/>
                <w:sz w:val="24"/>
              </w:rPr>
            </w:pPr>
            <w:r>
              <w:rPr>
                <w:rFonts w:hint="eastAsia" w:ascii="仿宋_GB2312" w:hAnsi="仿宋" w:eastAsia="仿宋_GB2312" w:cs="仿宋"/>
                <w:b/>
                <w:bCs/>
                <w:kern w:val="0"/>
                <w:sz w:val="24"/>
              </w:rPr>
              <w:t>收  入  总  计</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bCs/>
                <w:kern w:val="0"/>
                <w:sz w:val="24"/>
                <w:lang w:val="en-US" w:eastAsia="zh-CN"/>
              </w:rPr>
            </w:pPr>
            <w:r>
              <w:rPr>
                <w:rFonts w:hint="eastAsia" w:ascii="仿宋_GB2312" w:hAnsi="仿宋" w:eastAsia="仿宋_GB2312" w:cs="仿宋"/>
                <w:bCs/>
                <w:kern w:val="0"/>
                <w:sz w:val="24"/>
                <w:lang w:val="en-US" w:eastAsia="zh-CN"/>
              </w:rPr>
              <w:t>346004</w:t>
            </w:r>
          </w:p>
        </w:tc>
        <w:tc>
          <w:tcPr>
            <w:tcW w:w="3511"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b/>
                <w:bCs/>
                <w:kern w:val="0"/>
                <w:sz w:val="24"/>
              </w:rPr>
            </w:pPr>
            <w:r>
              <w:rPr>
                <w:rFonts w:hint="eastAsia" w:ascii="仿宋_GB2312" w:hAnsi="仿宋" w:eastAsia="仿宋_GB2312" w:cs="仿宋"/>
                <w:b/>
                <w:bCs/>
                <w:kern w:val="0"/>
                <w:sz w:val="24"/>
              </w:rPr>
              <w:t>支  出  总  计</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bCs/>
                <w:kern w:val="0"/>
                <w:sz w:val="24"/>
                <w:lang w:eastAsia="zh-CN"/>
              </w:rPr>
            </w:pPr>
            <w:r>
              <w:rPr>
                <w:rFonts w:hint="eastAsia" w:ascii="仿宋_GB2312" w:hAnsi="仿宋" w:eastAsia="仿宋_GB2312" w:cs="仿宋"/>
                <w:bCs/>
                <w:kern w:val="0"/>
                <w:sz w:val="24"/>
                <w:lang w:val="en-US" w:eastAsia="zh-CN"/>
              </w:rPr>
              <w:t>346004</w:t>
            </w:r>
          </w:p>
        </w:tc>
      </w:tr>
    </w:tbl>
    <w:p>
      <w:pPr>
        <w:adjustRightInd w:val="0"/>
        <w:snapToGrid w:val="0"/>
        <w:spacing w:line="360" w:lineRule="auto"/>
        <w:ind w:firstLine="540" w:firstLineChars="150"/>
        <w:textAlignment w:val="bottom"/>
        <w:rPr>
          <w:rFonts w:hint="eastAsia" w:ascii="黑体" w:hAnsi="仿宋" w:eastAsia="黑体" w:cs="仿宋"/>
          <w:sz w:val="36"/>
          <w:szCs w:val="36"/>
        </w:rPr>
      </w:pPr>
    </w:p>
    <w:p>
      <w:pPr>
        <w:adjustRightInd w:val="0"/>
        <w:snapToGrid w:val="0"/>
        <w:spacing w:line="360" w:lineRule="auto"/>
        <w:ind w:firstLine="540" w:firstLineChars="150"/>
        <w:textAlignment w:val="bottom"/>
        <w:rPr>
          <w:rFonts w:hint="eastAsia" w:ascii="黑体" w:hAnsi="仿宋" w:eastAsia="黑体" w:cs="仿宋"/>
          <w:sz w:val="36"/>
          <w:szCs w:val="36"/>
        </w:rPr>
      </w:pPr>
    </w:p>
    <w:p>
      <w:pPr>
        <w:adjustRightInd w:val="0"/>
        <w:snapToGrid w:val="0"/>
        <w:spacing w:line="360" w:lineRule="auto"/>
        <w:ind w:firstLine="540" w:firstLineChars="150"/>
        <w:textAlignment w:val="bottom"/>
        <w:rPr>
          <w:rFonts w:hint="eastAsia" w:ascii="黑体" w:hAnsi="仿宋" w:eastAsia="黑体" w:cs="仿宋"/>
          <w:sz w:val="36"/>
          <w:szCs w:val="36"/>
        </w:rPr>
      </w:pPr>
    </w:p>
    <w:p>
      <w:pPr>
        <w:adjustRightInd w:val="0"/>
        <w:snapToGrid w:val="0"/>
        <w:spacing w:line="360" w:lineRule="auto"/>
        <w:ind w:firstLine="540" w:firstLineChars="150"/>
        <w:textAlignment w:val="bottom"/>
        <w:rPr>
          <w:rFonts w:hint="eastAsia" w:ascii="黑体" w:hAnsi="仿宋" w:eastAsia="黑体" w:cs="仿宋"/>
          <w:sz w:val="36"/>
          <w:szCs w:val="36"/>
        </w:rPr>
      </w:pPr>
    </w:p>
    <w:p>
      <w:pPr>
        <w:adjustRightInd w:val="0"/>
        <w:snapToGrid w:val="0"/>
        <w:spacing w:line="360" w:lineRule="auto"/>
        <w:ind w:firstLine="540" w:firstLineChars="150"/>
        <w:textAlignment w:val="bottom"/>
        <w:rPr>
          <w:rFonts w:hint="eastAsia" w:ascii="黑体" w:hAnsi="仿宋" w:eastAsia="黑体" w:cs="仿宋"/>
          <w:sz w:val="36"/>
          <w:szCs w:val="36"/>
        </w:rPr>
      </w:pPr>
    </w:p>
    <w:p>
      <w:pPr>
        <w:adjustRightInd w:val="0"/>
        <w:snapToGrid w:val="0"/>
        <w:spacing w:line="360" w:lineRule="auto"/>
        <w:ind w:firstLine="540" w:firstLineChars="150"/>
        <w:textAlignment w:val="bottom"/>
        <w:rPr>
          <w:rFonts w:hint="eastAsia" w:ascii="黑体" w:hAnsi="仿宋" w:eastAsia="黑体" w:cs="仿宋"/>
          <w:sz w:val="36"/>
          <w:szCs w:val="36"/>
        </w:rPr>
      </w:pPr>
    </w:p>
    <w:p>
      <w:pPr>
        <w:rPr>
          <w:rFonts w:hint="eastAsia" w:ascii="仿宋_GB2312" w:hAnsi="仿宋"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r>
        <w:rPr>
          <w:rFonts w:hint="eastAsia" w:ascii="仿宋_GB2312" w:eastAsia="仿宋_GB2312"/>
          <w:b/>
          <w:sz w:val="32"/>
          <w:szCs w:val="32"/>
        </w:rPr>
        <w:t>附表</w:t>
      </w:r>
      <w:r>
        <w:rPr>
          <w:rFonts w:hint="eastAsia" w:ascii="仿宋_GB2312" w:eastAsia="仿宋_GB2312"/>
          <w:b/>
          <w:sz w:val="32"/>
          <w:szCs w:val="32"/>
          <w:lang w:val="en-US" w:eastAsia="zh-CN"/>
        </w:rPr>
        <w:t>4</w:t>
      </w:r>
      <w:r>
        <w:rPr>
          <w:rFonts w:hint="eastAsia" w:ascii="仿宋_GB2312" w:eastAsia="仿宋_GB2312"/>
          <w:b/>
          <w:sz w:val="32"/>
          <w:szCs w:val="32"/>
        </w:rPr>
        <w:t>：</w:t>
      </w:r>
    </w:p>
    <w:p>
      <w:pPr>
        <w:jc w:val="center"/>
        <w:rPr>
          <w:rFonts w:hint="eastAsia" w:ascii="方正小标宋简体" w:eastAsia="方正小标宋简体"/>
          <w:sz w:val="32"/>
          <w:szCs w:val="32"/>
        </w:rPr>
      </w:pPr>
      <w:r>
        <w:rPr>
          <w:rFonts w:hint="eastAsia" w:ascii="方正小标宋简体" w:eastAsia="方正小标宋简体"/>
          <w:sz w:val="32"/>
          <w:szCs w:val="32"/>
        </w:rPr>
        <w:t>201</w:t>
      </w:r>
      <w:r>
        <w:rPr>
          <w:rFonts w:hint="eastAsia" w:ascii="方正小标宋简体" w:eastAsia="方正小标宋简体"/>
          <w:sz w:val="32"/>
          <w:szCs w:val="32"/>
          <w:lang w:val="en-US" w:eastAsia="zh-CN"/>
        </w:rPr>
        <w:t>5</w:t>
      </w:r>
      <w:r>
        <w:rPr>
          <w:rFonts w:hint="eastAsia" w:ascii="方正小标宋简体" w:eastAsia="方正小标宋简体"/>
          <w:sz w:val="32"/>
          <w:szCs w:val="32"/>
        </w:rPr>
        <w:t>年全县政府性基金</w:t>
      </w:r>
      <w:r>
        <w:rPr>
          <w:rFonts w:hint="eastAsia" w:ascii="方正小标宋简体" w:eastAsia="方正小标宋简体"/>
          <w:sz w:val="32"/>
          <w:szCs w:val="32"/>
          <w:lang w:eastAsia="zh-CN"/>
        </w:rPr>
        <w:t>收支</w:t>
      </w:r>
      <w:r>
        <w:rPr>
          <w:rFonts w:hint="eastAsia" w:ascii="方正小标宋简体" w:eastAsia="方正小标宋简体"/>
          <w:sz w:val="32"/>
          <w:szCs w:val="32"/>
        </w:rPr>
        <w:t>决算表</w:t>
      </w:r>
    </w:p>
    <w:p>
      <w:pPr>
        <w:wordWrap w:val="0"/>
        <w:ind w:right="195"/>
        <w:jc w:val="right"/>
        <w:rPr>
          <w:rFonts w:hint="eastAsia" w:ascii="仿宋_GB2312" w:hAnsi="仿宋_GB2312" w:eastAsia="仿宋_GB2312" w:cs="仿宋_GB2312"/>
          <w:b/>
          <w:bCs/>
          <w:kern w:val="0"/>
          <w:sz w:val="32"/>
          <w:szCs w:val="32"/>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单位：万元</w:t>
      </w:r>
      <w:r>
        <w:rPr>
          <w:rFonts w:hint="eastAsia" w:ascii="仿宋_GB2312" w:hAnsi="仿宋_GB2312" w:eastAsia="仿宋_GB2312" w:cs="仿宋_GB2312"/>
          <w:sz w:val="24"/>
          <w:lang w:val="en-US" w:eastAsia="zh-CN"/>
        </w:rPr>
        <w:t xml:space="preserve"> </w:t>
      </w:r>
    </w:p>
    <w:tbl>
      <w:tblPr>
        <w:tblStyle w:val="8"/>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950"/>
        <w:gridCol w:w="2820"/>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2410" w:type="dxa"/>
            <w:vAlign w:val="center"/>
          </w:tcPr>
          <w:p>
            <w:pPr>
              <w:jc w:val="center"/>
              <w:rPr>
                <w:rFonts w:hint="eastAsia" w:ascii="仿宋_GB2312" w:hAnsi="黑体" w:eastAsia="仿宋_GB2312" w:cs="黑体"/>
                <w:b/>
                <w:bCs/>
                <w:kern w:val="0"/>
                <w:sz w:val="24"/>
                <w:szCs w:val="24"/>
                <w:vertAlign w:val="baseline"/>
              </w:rPr>
            </w:pPr>
            <w:r>
              <w:rPr>
                <w:rFonts w:hint="eastAsia" w:ascii="仿宋_GB2312" w:hAnsi="黑体" w:eastAsia="仿宋_GB2312" w:cs="黑体"/>
                <w:b/>
                <w:bCs/>
                <w:kern w:val="0"/>
                <w:sz w:val="24"/>
                <w:szCs w:val="24"/>
                <w:vertAlign w:val="baseline"/>
                <w:lang w:eastAsia="zh-CN"/>
              </w:rPr>
              <w:t>预算科目</w:t>
            </w:r>
          </w:p>
        </w:tc>
        <w:tc>
          <w:tcPr>
            <w:tcW w:w="1950" w:type="dxa"/>
            <w:vAlign w:val="center"/>
          </w:tcPr>
          <w:p>
            <w:pPr>
              <w:jc w:val="center"/>
              <w:rPr>
                <w:rFonts w:hint="eastAsia" w:ascii="仿宋_GB2312" w:hAnsi="黑体" w:eastAsia="仿宋_GB2312" w:cs="黑体"/>
                <w:b/>
                <w:bCs/>
                <w:kern w:val="0"/>
                <w:sz w:val="24"/>
                <w:szCs w:val="24"/>
                <w:vertAlign w:val="baseline"/>
              </w:rPr>
            </w:pPr>
            <w:r>
              <w:rPr>
                <w:rFonts w:hint="eastAsia" w:ascii="仿宋_GB2312" w:hAnsi="黑体" w:eastAsia="仿宋_GB2312" w:cs="黑体"/>
                <w:b/>
                <w:bCs/>
                <w:kern w:val="0"/>
                <w:sz w:val="24"/>
                <w:szCs w:val="24"/>
                <w:vertAlign w:val="baseline"/>
                <w:lang w:eastAsia="zh-CN"/>
              </w:rPr>
              <w:t>决算数</w:t>
            </w:r>
          </w:p>
        </w:tc>
        <w:tc>
          <w:tcPr>
            <w:tcW w:w="2820" w:type="dxa"/>
            <w:vAlign w:val="center"/>
          </w:tcPr>
          <w:p>
            <w:pPr>
              <w:jc w:val="center"/>
              <w:rPr>
                <w:rFonts w:hint="eastAsia" w:ascii="仿宋_GB2312" w:hAnsi="黑体" w:eastAsia="仿宋_GB2312" w:cs="黑体"/>
                <w:b/>
                <w:bCs/>
                <w:kern w:val="0"/>
                <w:sz w:val="24"/>
                <w:szCs w:val="24"/>
                <w:vertAlign w:val="baseline"/>
              </w:rPr>
            </w:pPr>
            <w:r>
              <w:rPr>
                <w:rFonts w:hint="eastAsia" w:ascii="仿宋_GB2312" w:hAnsi="黑体" w:eastAsia="仿宋_GB2312" w:cs="黑体"/>
                <w:b/>
                <w:bCs/>
                <w:kern w:val="0"/>
                <w:sz w:val="24"/>
                <w:szCs w:val="24"/>
                <w:vertAlign w:val="baseline"/>
                <w:lang w:eastAsia="zh-CN"/>
              </w:rPr>
              <w:t>预算科目</w:t>
            </w:r>
          </w:p>
        </w:tc>
        <w:tc>
          <w:tcPr>
            <w:tcW w:w="1892" w:type="dxa"/>
            <w:vAlign w:val="center"/>
          </w:tcPr>
          <w:p>
            <w:pPr>
              <w:jc w:val="center"/>
              <w:rPr>
                <w:rFonts w:hint="eastAsia" w:ascii="仿宋_GB2312" w:hAnsi="黑体" w:eastAsia="仿宋_GB2312" w:cs="黑体"/>
                <w:b/>
                <w:bCs/>
                <w:kern w:val="0"/>
                <w:sz w:val="24"/>
                <w:szCs w:val="24"/>
                <w:vertAlign w:val="baseline"/>
              </w:rPr>
            </w:pPr>
            <w:r>
              <w:rPr>
                <w:rFonts w:hint="eastAsia" w:ascii="仿宋_GB2312" w:hAnsi="黑体" w:eastAsia="仿宋_GB2312" w:cs="黑体"/>
                <w:b/>
                <w:bCs/>
                <w:kern w:val="0"/>
                <w:sz w:val="24"/>
                <w:szCs w:val="24"/>
                <w:vertAlign w:val="baseline"/>
                <w:lang w:eastAsia="zh-CN"/>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2410" w:type="dxa"/>
            <w:vAlign w:val="center"/>
          </w:tcPr>
          <w:p>
            <w:pPr>
              <w:jc w:val="center"/>
              <w:rPr>
                <w:rFonts w:hint="eastAsia" w:ascii="仿宋_GB2312" w:hAnsi="黑体" w:eastAsia="仿宋_GB2312" w:cs="黑体"/>
                <w:b w:val="0"/>
                <w:bCs w:val="0"/>
                <w:kern w:val="0"/>
                <w:sz w:val="24"/>
                <w:szCs w:val="24"/>
                <w:vertAlign w:val="baseline"/>
              </w:rPr>
            </w:pPr>
            <w:r>
              <w:rPr>
                <w:rFonts w:hint="eastAsia" w:ascii="仿宋_GB2312" w:hAnsi="黑体" w:eastAsia="仿宋_GB2312" w:cs="黑体"/>
                <w:b w:val="0"/>
                <w:bCs w:val="0"/>
                <w:kern w:val="0"/>
                <w:sz w:val="24"/>
                <w:szCs w:val="24"/>
                <w:vertAlign w:val="baseline"/>
                <w:lang w:eastAsia="zh-CN"/>
              </w:rPr>
              <w:t>全县基金收入</w:t>
            </w:r>
          </w:p>
        </w:tc>
        <w:tc>
          <w:tcPr>
            <w:tcW w:w="1950" w:type="dxa"/>
            <w:vAlign w:val="center"/>
          </w:tcPr>
          <w:p>
            <w:pPr>
              <w:jc w:val="center"/>
              <w:rPr>
                <w:rFonts w:hint="eastAsia" w:ascii="仿宋_GB2312" w:hAnsi="黑体" w:eastAsia="仿宋_GB2312" w:cs="黑体"/>
                <w:b w:val="0"/>
                <w:bCs w:val="0"/>
                <w:kern w:val="0"/>
                <w:sz w:val="24"/>
                <w:szCs w:val="24"/>
                <w:vertAlign w:val="baseline"/>
              </w:rPr>
            </w:pPr>
            <w:r>
              <w:rPr>
                <w:rFonts w:hint="eastAsia" w:ascii="仿宋_GB2312" w:hAnsi="黑体" w:eastAsia="仿宋_GB2312" w:cs="黑体"/>
                <w:b w:val="0"/>
                <w:bCs w:val="0"/>
                <w:kern w:val="0"/>
                <w:sz w:val="24"/>
                <w:szCs w:val="24"/>
                <w:vertAlign w:val="baseline"/>
                <w:lang w:val="en-US" w:eastAsia="zh-CN"/>
              </w:rPr>
              <w:t>98377</w:t>
            </w:r>
          </w:p>
        </w:tc>
        <w:tc>
          <w:tcPr>
            <w:tcW w:w="2820" w:type="dxa"/>
            <w:vAlign w:val="center"/>
          </w:tcPr>
          <w:p>
            <w:pPr>
              <w:jc w:val="center"/>
              <w:rPr>
                <w:rFonts w:hint="eastAsia" w:ascii="仿宋_GB2312" w:hAnsi="黑体" w:eastAsia="仿宋_GB2312" w:cs="黑体"/>
                <w:b w:val="0"/>
                <w:bCs w:val="0"/>
                <w:kern w:val="0"/>
                <w:sz w:val="24"/>
                <w:szCs w:val="24"/>
                <w:vertAlign w:val="baseline"/>
              </w:rPr>
            </w:pPr>
            <w:r>
              <w:rPr>
                <w:rFonts w:hint="eastAsia" w:ascii="仿宋_GB2312" w:hAnsi="黑体" w:eastAsia="仿宋_GB2312" w:cs="黑体"/>
                <w:b w:val="0"/>
                <w:bCs w:val="0"/>
                <w:kern w:val="0"/>
                <w:sz w:val="24"/>
                <w:szCs w:val="24"/>
                <w:vertAlign w:val="baseline"/>
                <w:lang w:eastAsia="zh-CN"/>
              </w:rPr>
              <w:t>全县基金支出</w:t>
            </w:r>
          </w:p>
        </w:tc>
        <w:tc>
          <w:tcPr>
            <w:tcW w:w="1892" w:type="dxa"/>
            <w:vAlign w:val="center"/>
          </w:tcPr>
          <w:p>
            <w:pPr>
              <w:jc w:val="center"/>
              <w:rPr>
                <w:rFonts w:hint="eastAsia" w:ascii="仿宋_GB2312" w:hAnsi="黑体" w:eastAsia="仿宋_GB2312" w:cs="黑体"/>
                <w:b w:val="0"/>
                <w:bCs w:val="0"/>
                <w:kern w:val="0"/>
                <w:sz w:val="24"/>
                <w:szCs w:val="24"/>
                <w:vertAlign w:val="baseline"/>
              </w:rPr>
            </w:pPr>
            <w:r>
              <w:rPr>
                <w:rFonts w:hint="eastAsia" w:ascii="仿宋_GB2312" w:hAnsi="黑体" w:eastAsia="仿宋_GB2312" w:cs="黑体"/>
                <w:b w:val="0"/>
                <w:bCs w:val="0"/>
                <w:kern w:val="0"/>
                <w:sz w:val="24"/>
                <w:szCs w:val="24"/>
                <w:vertAlign w:val="baseline"/>
                <w:lang w:val="en-US" w:eastAsia="zh-CN"/>
              </w:rPr>
              <w:t>98377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2410" w:type="dxa"/>
            <w:vAlign w:val="center"/>
          </w:tcPr>
          <w:p>
            <w:pPr>
              <w:jc w:val="center"/>
              <w:rPr>
                <w:rFonts w:hint="eastAsia" w:ascii="仿宋_GB2312" w:hAnsi="黑体" w:eastAsia="仿宋_GB2312" w:cs="黑体"/>
                <w:b w:val="0"/>
                <w:bCs w:val="0"/>
                <w:kern w:val="0"/>
                <w:sz w:val="24"/>
                <w:szCs w:val="24"/>
                <w:vertAlign w:val="baseline"/>
              </w:rPr>
            </w:pPr>
            <w:r>
              <w:rPr>
                <w:rFonts w:hint="eastAsia" w:ascii="仿宋_GB2312" w:hAnsi="黑体" w:eastAsia="仿宋_GB2312" w:cs="黑体"/>
                <w:b w:val="0"/>
                <w:bCs w:val="0"/>
                <w:kern w:val="0"/>
                <w:sz w:val="24"/>
                <w:szCs w:val="24"/>
                <w:vertAlign w:val="baseline"/>
                <w:lang w:eastAsia="zh-CN"/>
              </w:rPr>
              <w:t>政府性基金收入</w:t>
            </w:r>
          </w:p>
        </w:tc>
        <w:tc>
          <w:tcPr>
            <w:tcW w:w="1950" w:type="dxa"/>
            <w:vAlign w:val="center"/>
          </w:tcPr>
          <w:p>
            <w:pPr>
              <w:jc w:val="center"/>
              <w:rPr>
                <w:rFonts w:hint="eastAsia" w:ascii="仿宋_GB2312" w:hAnsi="黑体" w:eastAsia="仿宋_GB2312" w:cs="黑体"/>
                <w:b w:val="0"/>
                <w:bCs w:val="0"/>
                <w:kern w:val="0"/>
                <w:sz w:val="24"/>
                <w:szCs w:val="24"/>
                <w:vertAlign w:val="baseline"/>
              </w:rPr>
            </w:pPr>
            <w:r>
              <w:rPr>
                <w:rFonts w:hint="eastAsia" w:ascii="仿宋_GB2312" w:hAnsi="黑体" w:eastAsia="仿宋_GB2312" w:cs="黑体"/>
                <w:b w:val="0"/>
                <w:bCs w:val="0"/>
                <w:kern w:val="0"/>
                <w:sz w:val="24"/>
                <w:szCs w:val="24"/>
                <w:vertAlign w:val="baseline"/>
                <w:lang w:val="en-US" w:eastAsia="zh-CN"/>
              </w:rPr>
              <w:t>58454</w:t>
            </w:r>
          </w:p>
        </w:tc>
        <w:tc>
          <w:tcPr>
            <w:tcW w:w="2820" w:type="dxa"/>
            <w:vAlign w:val="center"/>
          </w:tcPr>
          <w:p>
            <w:pPr>
              <w:jc w:val="center"/>
              <w:rPr>
                <w:rFonts w:hint="eastAsia" w:ascii="仿宋_GB2312" w:hAnsi="黑体" w:eastAsia="仿宋_GB2312" w:cs="黑体"/>
                <w:b w:val="0"/>
                <w:bCs w:val="0"/>
                <w:kern w:val="0"/>
                <w:sz w:val="24"/>
                <w:szCs w:val="24"/>
                <w:vertAlign w:val="baseline"/>
              </w:rPr>
            </w:pPr>
            <w:r>
              <w:rPr>
                <w:rFonts w:hint="eastAsia" w:ascii="仿宋_GB2312" w:hAnsi="黑体" w:eastAsia="仿宋_GB2312" w:cs="黑体"/>
                <w:b w:val="0"/>
                <w:bCs w:val="0"/>
                <w:kern w:val="0"/>
                <w:sz w:val="24"/>
                <w:szCs w:val="24"/>
                <w:vertAlign w:val="baseline"/>
                <w:lang w:eastAsia="zh-CN"/>
              </w:rPr>
              <w:t>水库移民支出</w:t>
            </w:r>
          </w:p>
        </w:tc>
        <w:tc>
          <w:tcPr>
            <w:tcW w:w="1892" w:type="dxa"/>
            <w:vAlign w:val="center"/>
          </w:tcPr>
          <w:p>
            <w:pPr>
              <w:jc w:val="center"/>
              <w:rPr>
                <w:rFonts w:hint="eastAsia" w:ascii="仿宋_GB2312" w:hAnsi="黑体" w:eastAsia="仿宋_GB2312" w:cs="黑体"/>
                <w:b w:val="0"/>
                <w:bCs w:val="0"/>
                <w:kern w:val="0"/>
                <w:sz w:val="24"/>
                <w:szCs w:val="24"/>
                <w:vertAlign w:val="baseline"/>
              </w:rPr>
            </w:pPr>
            <w:r>
              <w:rPr>
                <w:rFonts w:hint="eastAsia" w:ascii="仿宋_GB2312" w:hAnsi="黑体" w:eastAsia="仿宋_GB2312" w:cs="黑体"/>
                <w:b w:val="0"/>
                <w:bCs w:val="0"/>
                <w:kern w:val="0"/>
                <w:sz w:val="24"/>
                <w:szCs w:val="24"/>
                <w:vertAlign w:val="baseline"/>
                <w:lang w:val="en-US" w:eastAsia="zh-C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2410" w:type="dxa"/>
            <w:vAlign w:val="center"/>
          </w:tcPr>
          <w:p>
            <w:pPr>
              <w:jc w:val="center"/>
              <w:rPr>
                <w:rFonts w:hint="eastAsia" w:ascii="仿宋_GB2312" w:hAnsi="黑体" w:eastAsia="仿宋_GB2312" w:cs="黑体"/>
                <w:b w:val="0"/>
                <w:bCs w:val="0"/>
                <w:kern w:val="0"/>
                <w:sz w:val="24"/>
                <w:szCs w:val="24"/>
                <w:vertAlign w:val="baseline"/>
              </w:rPr>
            </w:pPr>
            <w:r>
              <w:rPr>
                <w:rFonts w:hint="eastAsia" w:ascii="仿宋_GB2312" w:hAnsi="黑体" w:eastAsia="仿宋_GB2312" w:cs="黑体"/>
                <w:b w:val="0"/>
                <w:bCs w:val="0"/>
                <w:kern w:val="0"/>
                <w:sz w:val="24"/>
                <w:szCs w:val="24"/>
                <w:vertAlign w:val="baseline"/>
                <w:lang w:eastAsia="zh-CN"/>
              </w:rPr>
              <w:t>政府性基金上级补助收入</w:t>
            </w:r>
          </w:p>
        </w:tc>
        <w:tc>
          <w:tcPr>
            <w:tcW w:w="1950" w:type="dxa"/>
            <w:vAlign w:val="center"/>
          </w:tcPr>
          <w:p>
            <w:pPr>
              <w:jc w:val="center"/>
              <w:rPr>
                <w:rFonts w:hint="eastAsia" w:ascii="仿宋_GB2312" w:hAnsi="黑体" w:eastAsia="仿宋_GB2312" w:cs="黑体"/>
                <w:b w:val="0"/>
                <w:bCs w:val="0"/>
                <w:kern w:val="0"/>
                <w:sz w:val="24"/>
                <w:szCs w:val="24"/>
                <w:vertAlign w:val="baseline"/>
              </w:rPr>
            </w:pPr>
            <w:r>
              <w:rPr>
                <w:rFonts w:hint="eastAsia" w:ascii="仿宋_GB2312" w:hAnsi="黑体" w:eastAsia="仿宋_GB2312" w:cs="黑体"/>
                <w:b w:val="0"/>
                <w:bCs w:val="0"/>
                <w:kern w:val="0"/>
                <w:sz w:val="24"/>
                <w:szCs w:val="24"/>
                <w:vertAlign w:val="baseline"/>
                <w:lang w:val="en-US" w:eastAsia="zh-CN"/>
              </w:rPr>
              <w:t>14407</w:t>
            </w:r>
          </w:p>
        </w:tc>
        <w:tc>
          <w:tcPr>
            <w:tcW w:w="2820" w:type="dxa"/>
            <w:vAlign w:val="center"/>
          </w:tcPr>
          <w:p>
            <w:pPr>
              <w:jc w:val="center"/>
              <w:rPr>
                <w:rFonts w:hint="eastAsia" w:ascii="仿宋_GB2312" w:hAnsi="黑体" w:eastAsia="仿宋_GB2312" w:cs="黑体"/>
                <w:b w:val="0"/>
                <w:bCs w:val="0"/>
                <w:kern w:val="0"/>
                <w:sz w:val="24"/>
                <w:szCs w:val="24"/>
                <w:vertAlign w:val="baseline"/>
              </w:rPr>
            </w:pPr>
            <w:r>
              <w:rPr>
                <w:rFonts w:hint="eastAsia" w:ascii="仿宋_GB2312" w:hAnsi="黑体" w:eastAsia="仿宋_GB2312" w:cs="黑体"/>
                <w:b w:val="0"/>
                <w:bCs w:val="0"/>
                <w:kern w:val="0"/>
                <w:sz w:val="24"/>
                <w:szCs w:val="24"/>
                <w:vertAlign w:val="baseline"/>
                <w:lang w:eastAsia="zh-CN"/>
              </w:rPr>
              <w:t>国有使用权出让相关支出</w:t>
            </w:r>
          </w:p>
        </w:tc>
        <w:tc>
          <w:tcPr>
            <w:tcW w:w="1892" w:type="dxa"/>
            <w:vAlign w:val="center"/>
          </w:tcPr>
          <w:p>
            <w:pPr>
              <w:jc w:val="center"/>
              <w:rPr>
                <w:rFonts w:hint="eastAsia" w:ascii="仿宋_GB2312" w:hAnsi="黑体" w:eastAsia="仿宋_GB2312" w:cs="黑体"/>
                <w:b w:val="0"/>
                <w:bCs w:val="0"/>
                <w:kern w:val="0"/>
                <w:sz w:val="24"/>
                <w:szCs w:val="24"/>
                <w:vertAlign w:val="baseline"/>
              </w:rPr>
            </w:pPr>
            <w:r>
              <w:rPr>
                <w:rFonts w:hint="eastAsia" w:ascii="仿宋_GB2312" w:hAnsi="黑体" w:eastAsia="仿宋_GB2312" w:cs="黑体"/>
                <w:b w:val="0"/>
                <w:bCs w:val="0"/>
                <w:kern w:val="0"/>
                <w:sz w:val="24"/>
                <w:szCs w:val="24"/>
                <w:vertAlign w:val="baseline"/>
                <w:lang w:val="en-US" w:eastAsia="zh-CN"/>
              </w:rPr>
              <w:t>66934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2410" w:type="dxa"/>
            <w:vAlign w:val="center"/>
          </w:tcPr>
          <w:p>
            <w:pPr>
              <w:jc w:val="center"/>
              <w:rPr>
                <w:rFonts w:hint="eastAsia" w:ascii="仿宋_GB2312" w:hAnsi="黑体" w:eastAsia="仿宋_GB2312" w:cs="黑体"/>
                <w:b w:val="0"/>
                <w:bCs w:val="0"/>
                <w:kern w:val="0"/>
                <w:sz w:val="24"/>
                <w:szCs w:val="24"/>
                <w:vertAlign w:val="baseline"/>
              </w:rPr>
            </w:pPr>
            <w:r>
              <w:rPr>
                <w:rFonts w:hint="eastAsia" w:ascii="仿宋_GB2312" w:hAnsi="黑体" w:eastAsia="仿宋_GB2312" w:cs="黑体"/>
                <w:b w:val="0"/>
                <w:bCs w:val="0"/>
                <w:kern w:val="0"/>
                <w:sz w:val="24"/>
                <w:szCs w:val="24"/>
                <w:vertAlign w:val="baseline"/>
                <w:lang w:eastAsia="zh-CN"/>
              </w:rPr>
              <w:t>上年结余</w:t>
            </w:r>
          </w:p>
        </w:tc>
        <w:tc>
          <w:tcPr>
            <w:tcW w:w="1950" w:type="dxa"/>
            <w:vAlign w:val="center"/>
          </w:tcPr>
          <w:p>
            <w:pPr>
              <w:jc w:val="center"/>
              <w:rPr>
                <w:rFonts w:hint="eastAsia" w:ascii="仿宋_GB2312" w:hAnsi="黑体" w:eastAsia="仿宋_GB2312" w:cs="黑体"/>
                <w:b w:val="0"/>
                <w:bCs w:val="0"/>
                <w:kern w:val="0"/>
                <w:sz w:val="24"/>
                <w:szCs w:val="24"/>
                <w:vertAlign w:val="baseline"/>
              </w:rPr>
            </w:pPr>
            <w:r>
              <w:rPr>
                <w:rFonts w:hint="eastAsia" w:ascii="仿宋_GB2312" w:hAnsi="黑体" w:eastAsia="仿宋_GB2312" w:cs="黑体"/>
                <w:b w:val="0"/>
                <w:bCs w:val="0"/>
                <w:kern w:val="0"/>
                <w:sz w:val="24"/>
                <w:szCs w:val="24"/>
                <w:vertAlign w:val="baseline"/>
                <w:lang w:val="en-US" w:eastAsia="zh-CN"/>
              </w:rPr>
              <w:t>25516</w:t>
            </w:r>
          </w:p>
        </w:tc>
        <w:tc>
          <w:tcPr>
            <w:tcW w:w="2820" w:type="dxa"/>
            <w:vAlign w:val="center"/>
          </w:tcPr>
          <w:p>
            <w:pPr>
              <w:jc w:val="center"/>
              <w:rPr>
                <w:rFonts w:hint="eastAsia" w:ascii="仿宋_GB2312" w:hAnsi="黑体" w:eastAsia="仿宋_GB2312" w:cs="黑体"/>
                <w:b w:val="0"/>
                <w:bCs w:val="0"/>
                <w:kern w:val="0"/>
                <w:sz w:val="24"/>
                <w:szCs w:val="24"/>
                <w:vertAlign w:val="baseline"/>
              </w:rPr>
            </w:pPr>
            <w:r>
              <w:rPr>
                <w:rFonts w:hint="eastAsia" w:ascii="仿宋_GB2312" w:hAnsi="黑体" w:eastAsia="仿宋_GB2312" w:cs="黑体"/>
                <w:b w:val="0"/>
                <w:bCs w:val="0"/>
                <w:kern w:val="0"/>
                <w:sz w:val="24"/>
                <w:szCs w:val="24"/>
                <w:vertAlign w:val="baseline"/>
                <w:lang w:eastAsia="zh-CN"/>
              </w:rPr>
              <w:t>新增建设用地土地有偿使用费相关支出</w:t>
            </w:r>
          </w:p>
        </w:tc>
        <w:tc>
          <w:tcPr>
            <w:tcW w:w="1892" w:type="dxa"/>
            <w:vAlign w:val="center"/>
          </w:tcPr>
          <w:p>
            <w:pPr>
              <w:jc w:val="center"/>
              <w:rPr>
                <w:rFonts w:hint="eastAsia" w:ascii="仿宋_GB2312" w:hAnsi="黑体" w:eastAsia="仿宋_GB2312" w:cs="黑体"/>
                <w:b w:val="0"/>
                <w:bCs w:val="0"/>
                <w:kern w:val="0"/>
                <w:sz w:val="24"/>
                <w:szCs w:val="24"/>
                <w:vertAlign w:val="baseline"/>
              </w:rPr>
            </w:pPr>
            <w:r>
              <w:rPr>
                <w:rFonts w:hint="eastAsia" w:ascii="仿宋_GB2312" w:hAnsi="黑体" w:eastAsia="仿宋_GB2312" w:cs="黑体"/>
                <w:b w:val="0"/>
                <w:bCs w:val="0"/>
                <w:kern w:val="0"/>
                <w:sz w:val="24"/>
                <w:szCs w:val="24"/>
                <w:vertAlign w:val="baseline"/>
                <w:lang w:val="en-US" w:eastAsia="zh-CN"/>
              </w:rPr>
              <w:t>29169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0" w:hRule="atLeast"/>
        </w:trPr>
        <w:tc>
          <w:tcPr>
            <w:tcW w:w="2410" w:type="dxa"/>
            <w:vAlign w:val="center"/>
          </w:tcPr>
          <w:p>
            <w:pPr>
              <w:jc w:val="center"/>
              <w:rPr>
                <w:rFonts w:hint="eastAsia" w:ascii="仿宋_GB2312" w:hAnsi="黑体" w:eastAsia="仿宋_GB2312" w:cs="黑体"/>
                <w:b w:val="0"/>
                <w:bCs w:val="0"/>
                <w:kern w:val="0"/>
                <w:sz w:val="24"/>
                <w:szCs w:val="24"/>
                <w:vertAlign w:val="baseline"/>
                <w:lang w:eastAsia="zh-CN"/>
              </w:rPr>
            </w:pPr>
          </w:p>
        </w:tc>
        <w:tc>
          <w:tcPr>
            <w:tcW w:w="1950" w:type="dxa"/>
            <w:vAlign w:val="center"/>
          </w:tcPr>
          <w:p>
            <w:pPr>
              <w:jc w:val="center"/>
              <w:rPr>
                <w:rFonts w:hint="eastAsia" w:ascii="仿宋_GB2312" w:hAnsi="黑体" w:eastAsia="仿宋_GB2312" w:cs="黑体"/>
                <w:b w:val="0"/>
                <w:bCs w:val="0"/>
                <w:kern w:val="0"/>
                <w:sz w:val="24"/>
                <w:szCs w:val="24"/>
                <w:vertAlign w:val="baseline"/>
                <w:lang w:val="en-US" w:eastAsia="zh-CN"/>
              </w:rPr>
            </w:pPr>
          </w:p>
        </w:tc>
        <w:tc>
          <w:tcPr>
            <w:tcW w:w="2820" w:type="dxa"/>
            <w:vAlign w:val="center"/>
          </w:tcPr>
          <w:p>
            <w:pPr>
              <w:jc w:val="center"/>
              <w:rPr>
                <w:rFonts w:hint="eastAsia" w:ascii="仿宋_GB2312" w:hAnsi="黑体" w:eastAsia="仿宋_GB2312" w:cs="黑体"/>
                <w:b w:val="0"/>
                <w:bCs w:val="0"/>
                <w:kern w:val="0"/>
                <w:sz w:val="24"/>
                <w:szCs w:val="24"/>
                <w:vertAlign w:val="baseline"/>
                <w:lang w:eastAsia="zh-CN"/>
              </w:rPr>
            </w:pPr>
            <w:r>
              <w:rPr>
                <w:rFonts w:hint="eastAsia" w:ascii="仿宋_GB2312" w:hAnsi="黑体" w:eastAsia="仿宋_GB2312" w:cs="黑体"/>
                <w:b w:val="0"/>
                <w:bCs w:val="0"/>
                <w:kern w:val="0"/>
                <w:sz w:val="24"/>
                <w:szCs w:val="24"/>
                <w:vertAlign w:val="baseline"/>
                <w:lang w:eastAsia="zh-CN"/>
              </w:rPr>
              <w:t>彩票公益金相关支出</w:t>
            </w:r>
          </w:p>
        </w:tc>
        <w:tc>
          <w:tcPr>
            <w:tcW w:w="1892" w:type="dxa"/>
            <w:vAlign w:val="center"/>
          </w:tcPr>
          <w:p>
            <w:pPr>
              <w:jc w:val="center"/>
              <w:rPr>
                <w:rFonts w:hint="eastAsia" w:ascii="仿宋_GB2312" w:hAnsi="黑体" w:eastAsia="仿宋_GB2312" w:cs="黑体"/>
                <w:b w:val="0"/>
                <w:bCs w:val="0"/>
                <w:kern w:val="0"/>
                <w:sz w:val="24"/>
                <w:szCs w:val="24"/>
                <w:vertAlign w:val="baseline"/>
                <w:lang w:val="en-US" w:eastAsia="zh-CN"/>
              </w:rPr>
            </w:pPr>
            <w:r>
              <w:rPr>
                <w:rFonts w:hint="eastAsia" w:ascii="仿宋_GB2312" w:hAnsi="黑体" w:eastAsia="仿宋_GB2312" w:cs="黑体"/>
                <w:b w:val="0"/>
                <w:bCs w:val="0"/>
                <w:kern w:val="0"/>
                <w:sz w:val="24"/>
                <w:szCs w:val="24"/>
                <w:vertAlign w:val="baseline"/>
                <w:lang w:val="en-US" w:eastAsia="zh-CN"/>
              </w:rPr>
              <w:t>1130</w:t>
            </w:r>
          </w:p>
        </w:tc>
      </w:tr>
    </w:tbl>
    <w:p>
      <w:pPr>
        <w:rPr>
          <w:rFonts w:hint="eastAsia" w:ascii="仿宋_GB2312" w:hAnsi="黑体" w:eastAsia="仿宋_GB2312" w:cs="黑体"/>
          <w:b/>
          <w:bCs/>
          <w:kern w:val="0"/>
          <w:sz w:val="32"/>
          <w:szCs w:val="32"/>
        </w:rPr>
      </w:pPr>
    </w:p>
    <w:p>
      <w:pPr>
        <w:rPr>
          <w:rFonts w:hint="eastAsia" w:ascii="仿宋_GB2312" w:hAnsi="黑体" w:eastAsia="仿宋_GB2312" w:cs="黑体"/>
          <w:b/>
          <w:bCs/>
          <w:kern w:val="0"/>
          <w:sz w:val="32"/>
          <w:szCs w:val="32"/>
        </w:rPr>
      </w:pPr>
    </w:p>
    <w:p>
      <w:pPr>
        <w:rPr>
          <w:rFonts w:hint="eastAsia" w:ascii="仿宋_GB2312" w:hAnsi="黑体" w:eastAsia="仿宋_GB2312" w:cs="黑体"/>
          <w:b/>
          <w:bCs/>
          <w:kern w:val="0"/>
          <w:sz w:val="32"/>
          <w:szCs w:val="32"/>
        </w:rPr>
      </w:pPr>
    </w:p>
    <w:p>
      <w:pPr>
        <w:rPr>
          <w:rFonts w:hint="eastAsia" w:ascii="仿宋_GB2312" w:hAnsi="黑体" w:eastAsia="仿宋_GB2312" w:cs="黑体"/>
          <w:b/>
          <w:bCs/>
          <w:kern w:val="0"/>
          <w:sz w:val="32"/>
          <w:szCs w:val="32"/>
        </w:rPr>
      </w:pPr>
    </w:p>
    <w:p>
      <w:pPr>
        <w:rPr>
          <w:rFonts w:hint="eastAsia" w:ascii="仿宋_GB2312" w:hAnsi="黑体" w:eastAsia="仿宋_GB2312" w:cs="黑体"/>
          <w:b/>
          <w:bCs/>
          <w:kern w:val="0"/>
          <w:sz w:val="32"/>
          <w:szCs w:val="32"/>
        </w:rPr>
      </w:pPr>
    </w:p>
    <w:p>
      <w:pPr>
        <w:rPr>
          <w:rFonts w:hint="eastAsia" w:ascii="仿宋_GB2312" w:hAnsi="黑体" w:eastAsia="仿宋_GB2312" w:cs="黑体"/>
          <w:b/>
          <w:bCs/>
          <w:kern w:val="0"/>
          <w:sz w:val="32"/>
          <w:szCs w:val="32"/>
        </w:rPr>
      </w:pPr>
    </w:p>
    <w:p>
      <w:pPr>
        <w:rPr>
          <w:rFonts w:hint="eastAsia" w:ascii="仿宋_GB2312" w:hAnsi="黑体" w:eastAsia="仿宋_GB2312" w:cs="黑体"/>
          <w:b/>
          <w:bCs/>
          <w:kern w:val="0"/>
          <w:sz w:val="32"/>
          <w:szCs w:val="32"/>
        </w:rPr>
      </w:pPr>
    </w:p>
    <w:p>
      <w:pPr>
        <w:rPr>
          <w:rFonts w:hint="eastAsia" w:ascii="仿宋_GB2312" w:hAnsi="黑体" w:eastAsia="仿宋_GB2312" w:cs="黑体"/>
          <w:b/>
          <w:bCs/>
          <w:kern w:val="0"/>
          <w:sz w:val="32"/>
          <w:szCs w:val="32"/>
        </w:rPr>
      </w:pPr>
    </w:p>
    <w:p>
      <w:pPr>
        <w:rPr>
          <w:rFonts w:hint="eastAsia" w:ascii="仿宋_GB2312" w:hAnsi="黑体" w:eastAsia="仿宋_GB2312" w:cs="黑体"/>
          <w:b/>
          <w:bCs/>
          <w:kern w:val="0"/>
          <w:sz w:val="32"/>
          <w:szCs w:val="32"/>
        </w:rPr>
      </w:pPr>
    </w:p>
    <w:p>
      <w:pPr>
        <w:rPr>
          <w:rFonts w:hint="eastAsia" w:ascii="仿宋_GB2312" w:hAnsi="黑体" w:eastAsia="仿宋_GB2312" w:cs="黑体"/>
          <w:b/>
          <w:bCs/>
          <w:kern w:val="0"/>
          <w:sz w:val="32"/>
          <w:szCs w:val="32"/>
        </w:rPr>
      </w:pPr>
    </w:p>
    <w:p>
      <w:pPr>
        <w:rPr>
          <w:rFonts w:hint="eastAsia" w:ascii="仿宋_GB2312" w:hAnsi="黑体" w:eastAsia="仿宋_GB2312" w:cs="黑体"/>
          <w:b/>
          <w:bCs/>
          <w:kern w:val="0"/>
          <w:sz w:val="32"/>
          <w:szCs w:val="32"/>
        </w:rPr>
      </w:pPr>
    </w:p>
    <w:p>
      <w:pPr>
        <w:rPr>
          <w:rFonts w:hint="eastAsia" w:ascii="仿宋_GB2312" w:hAnsi="黑体" w:eastAsia="仿宋_GB2312" w:cs="黑体"/>
          <w:b/>
          <w:bCs/>
          <w:kern w:val="0"/>
          <w:sz w:val="32"/>
          <w:szCs w:val="32"/>
        </w:rPr>
      </w:pPr>
    </w:p>
    <w:p>
      <w:pPr>
        <w:rPr>
          <w:rFonts w:hint="eastAsia" w:ascii="仿宋_GB2312" w:hAnsi="黑体" w:eastAsia="仿宋_GB2312" w:cs="黑体"/>
          <w:b/>
          <w:bCs/>
          <w:kern w:val="0"/>
          <w:sz w:val="32"/>
          <w:szCs w:val="32"/>
        </w:rPr>
      </w:pPr>
    </w:p>
    <w:p>
      <w:pPr>
        <w:rPr>
          <w:rFonts w:hint="eastAsia" w:ascii="仿宋_GB2312" w:hAnsi="黑体" w:eastAsia="仿宋_GB2312" w:cs="黑体"/>
          <w:b/>
          <w:bCs/>
          <w:kern w:val="0"/>
          <w:sz w:val="32"/>
          <w:szCs w:val="32"/>
        </w:rPr>
      </w:pPr>
    </w:p>
    <w:p>
      <w:pPr>
        <w:rPr>
          <w:rFonts w:hint="eastAsia" w:ascii="仿宋_GB2312" w:hAnsi="黑体" w:eastAsia="仿宋_GB2312" w:cs="黑体"/>
          <w:b/>
          <w:bCs/>
          <w:kern w:val="0"/>
          <w:sz w:val="32"/>
          <w:szCs w:val="32"/>
        </w:rPr>
      </w:pPr>
      <w:r>
        <w:rPr>
          <w:rFonts w:hint="eastAsia" w:ascii="仿宋_GB2312" w:hAnsi="黑体" w:eastAsia="仿宋_GB2312" w:cs="黑体"/>
          <w:b/>
          <w:bCs/>
          <w:kern w:val="0"/>
          <w:sz w:val="32"/>
          <w:szCs w:val="32"/>
        </w:rPr>
        <w:t>附表</w:t>
      </w:r>
      <w:r>
        <w:rPr>
          <w:rFonts w:hint="eastAsia" w:ascii="仿宋_GB2312" w:hAnsi="黑体" w:eastAsia="仿宋_GB2312" w:cs="黑体"/>
          <w:b/>
          <w:bCs/>
          <w:kern w:val="0"/>
          <w:sz w:val="32"/>
          <w:szCs w:val="32"/>
          <w:lang w:val="en-US" w:eastAsia="zh-CN"/>
        </w:rPr>
        <w:t>5</w:t>
      </w:r>
      <w:r>
        <w:rPr>
          <w:rFonts w:hint="eastAsia" w:ascii="仿宋_GB2312" w:hAnsi="黑体" w:eastAsia="仿宋_GB2312" w:cs="黑体"/>
          <w:b/>
          <w:bCs/>
          <w:kern w:val="0"/>
          <w:sz w:val="32"/>
          <w:szCs w:val="32"/>
        </w:rPr>
        <w:t>：</w:t>
      </w:r>
    </w:p>
    <w:p>
      <w:pPr>
        <w:rPr>
          <w:rFonts w:hint="eastAsia" w:ascii="仿宋_GB2312" w:hAnsi="黑体" w:eastAsia="仿宋_GB2312" w:cs="黑体"/>
          <w:b/>
          <w:bCs/>
          <w:kern w:val="0"/>
          <w:sz w:val="32"/>
          <w:szCs w:val="32"/>
        </w:rPr>
      </w:pPr>
    </w:p>
    <w:p>
      <w:pPr>
        <w:jc w:val="center"/>
        <w:rPr>
          <w:rFonts w:hint="eastAsia" w:ascii="方正小标宋简体" w:hAnsi="黑体" w:eastAsia="方正小标宋简体" w:cs="黑体"/>
          <w:bCs/>
          <w:kern w:val="0"/>
          <w:sz w:val="32"/>
          <w:szCs w:val="32"/>
        </w:rPr>
      </w:pPr>
      <w:r>
        <w:rPr>
          <w:rFonts w:hint="eastAsia" w:ascii="方正小标宋简体" w:hAnsi="黑体" w:eastAsia="方正小标宋简体" w:cs="黑体"/>
          <w:bCs/>
          <w:kern w:val="0"/>
          <w:sz w:val="32"/>
          <w:szCs w:val="32"/>
        </w:rPr>
        <w:t>2015年度全县政府性基金收支</w:t>
      </w:r>
      <w:r>
        <w:rPr>
          <w:rFonts w:hint="eastAsia" w:ascii="方正小标宋简体" w:hAnsi="黑体" w:eastAsia="方正小标宋简体" w:cs="黑体"/>
          <w:bCs/>
          <w:kern w:val="0"/>
          <w:sz w:val="32"/>
          <w:szCs w:val="32"/>
          <w:lang w:eastAsia="zh-CN"/>
        </w:rPr>
        <w:t>平衡情况</w:t>
      </w:r>
      <w:r>
        <w:rPr>
          <w:rFonts w:hint="eastAsia" w:ascii="方正小标宋简体" w:hAnsi="黑体" w:eastAsia="方正小标宋简体" w:cs="黑体"/>
          <w:bCs/>
          <w:kern w:val="0"/>
          <w:sz w:val="32"/>
          <w:szCs w:val="32"/>
        </w:rPr>
        <w:t>表</w:t>
      </w:r>
    </w:p>
    <w:p>
      <w:pPr>
        <w:rPr>
          <w:rFonts w:hint="eastAsia" w:ascii="仿宋_GB2312" w:hAnsi="仿宋_GB2312" w:eastAsia="仿宋_GB2312" w:cs="仿宋_GB2312"/>
          <w:kern w:val="0"/>
          <w:sz w:val="24"/>
        </w:rPr>
      </w:pPr>
      <w:r>
        <w:rPr>
          <w:rFonts w:hint="eastAsia" w:ascii="宋体" w:hAnsi="宋体"/>
          <w:b/>
          <w:kern w:val="0"/>
          <w:sz w:val="36"/>
        </w:rPr>
        <w:t xml:space="preserve">                                      </w:t>
      </w:r>
      <w:r>
        <w:rPr>
          <w:rFonts w:hint="eastAsia" w:ascii="仿宋_GB2312" w:hAnsi="仿宋_GB2312" w:eastAsia="仿宋_GB2312" w:cs="仿宋_GB2312"/>
          <w:kern w:val="0"/>
          <w:sz w:val="24"/>
        </w:rPr>
        <w:t>单位：万元</w:t>
      </w:r>
    </w:p>
    <w:tbl>
      <w:tblPr>
        <w:tblStyle w:val="7"/>
        <w:tblpPr w:leftFromText="180" w:rightFromText="180" w:vertAnchor="text" w:horzAnchor="page" w:tblpX="1564" w:tblpY="261"/>
        <w:tblOverlap w:val="never"/>
        <w:tblW w:w="8905" w:type="dxa"/>
        <w:tblInd w:w="0" w:type="dxa"/>
        <w:tblLayout w:type="fixed"/>
        <w:tblCellMar>
          <w:top w:w="15" w:type="dxa"/>
          <w:left w:w="15" w:type="dxa"/>
          <w:bottom w:w="15" w:type="dxa"/>
          <w:right w:w="15" w:type="dxa"/>
        </w:tblCellMar>
      </w:tblPr>
      <w:tblGrid>
        <w:gridCol w:w="3265"/>
        <w:gridCol w:w="990"/>
        <w:gridCol w:w="3630"/>
        <w:gridCol w:w="1020"/>
      </w:tblGrid>
      <w:tr>
        <w:tblPrEx>
          <w:tblLayout w:type="fixed"/>
          <w:tblCellMar>
            <w:top w:w="15" w:type="dxa"/>
            <w:left w:w="15" w:type="dxa"/>
            <w:bottom w:w="15" w:type="dxa"/>
            <w:right w:w="15" w:type="dxa"/>
          </w:tblCellMar>
        </w:tblPrEx>
        <w:trPr>
          <w:trHeight w:val="540" w:hRule="atLeast"/>
        </w:trPr>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b/>
                <w:kern w:val="0"/>
                <w:sz w:val="24"/>
              </w:rPr>
            </w:pPr>
            <w:r>
              <w:rPr>
                <w:rFonts w:hint="eastAsia" w:ascii="仿宋_GB2312" w:hAnsi="仿宋" w:eastAsia="仿宋_GB2312" w:cs="仿宋"/>
                <w:b/>
                <w:kern w:val="0"/>
                <w:sz w:val="24"/>
              </w:rPr>
              <w:t>预算科目</w:t>
            </w:r>
          </w:p>
        </w:tc>
        <w:tc>
          <w:tcPr>
            <w:tcW w:w="990" w:type="dxa"/>
            <w:tcBorders>
              <w:top w:val="single" w:color="000000" w:sz="4" w:space="0"/>
              <w:left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b/>
                <w:kern w:val="0"/>
                <w:sz w:val="24"/>
              </w:rPr>
            </w:pPr>
            <w:r>
              <w:rPr>
                <w:rFonts w:hint="eastAsia" w:ascii="仿宋_GB2312" w:hAnsi="仿宋" w:eastAsia="仿宋_GB2312" w:cs="仿宋"/>
                <w:b/>
                <w:kern w:val="0"/>
                <w:sz w:val="24"/>
              </w:rPr>
              <w:t>决算数</w:t>
            </w:r>
          </w:p>
        </w:tc>
        <w:tc>
          <w:tcPr>
            <w:tcW w:w="3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b/>
                <w:kern w:val="0"/>
                <w:sz w:val="24"/>
              </w:rPr>
            </w:pPr>
            <w:r>
              <w:rPr>
                <w:rFonts w:hint="eastAsia" w:ascii="仿宋_GB2312" w:hAnsi="仿宋" w:eastAsia="仿宋_GB2312" w:cs="仿宋"/>
                <w:b/>
                <w:kern w:val="0"/>
                <w:sz w:val="24"/>
              </w:rPr>
              <w:t>预算科目</w:t>
            </w:r>
          </w:p>
        </w:tc>
        <w:tc>
          <w:tcPr>
            <w:tcW w:w="1020" w:type="dxa"/>
            <w:tcBorders>
              <w:top w:val="single" w:color="000000" w:sz="4" w:space="0"/>
              <w:left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b/>
                <w:kern w:val="0"/>
                <w:sz w:val="24"/>
              </w:rPr>
            </w:pPr>
            <w:r>
              <w:rPr>
                <w:rFonts w:hint="eastAsia" w:ascii="仿宋_GB2312" w:hAnsi="仿宋" w:eastAsia="仿宋_GB2312" w:cs="仿宋"/>
                <w:b/>
                <w:kern w:val="0"/>
                <w:sz w:val="24"/>
              </w:rPr>
              <w:t>决算数</w:t>
            </w:r>
          </w:p>
        </w:tc>
      </w:tr>
      <w:tr>
        <w:tblPrEx>
          <w:tblLayout w:type="fixed"/>
          <w:tblCellMar>
            <w:top w:w="15" w:type="dxa"/>
            <w:left w:w="15" w:type="dxa"/>
            <w:bottom w:w="15" w:type="dxa"/>
            <w:right w:w="15" w:type="dxa"/>
          </w:tblCellMar>
        </w:tblPrEx>
        <w:trPr>
          <w:trHeight w:val="540" w:hRule="atLeast"/>
        </w:trPr>
        <w:tc>
          <w:tcPr>
            <w:tcW w:w="3265"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政府性基金收入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58454</w:t>
            </w:r>
          </w:p>
        </w:tc>
        <w:tc>
          <w:tcPr>
            <w:tcW w:w="3630"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政府性基金支出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98377</w:t>
            </w:r>
          </w:p>
        </w:tc>
      </w:tr>
      <w:tr>
        <w:tblPrEx>
          <w:tblLayout w:type="fixed"/>
          <w:tblCellMar>
            <w:top w:w="15" w:type="dxa"/>
            <w:left w:w="15" w:type="dxa"/>
            <w:bottom w:w="15" w:type="dxa"/>
            <w:right w:w="15" w:type="dxa"/>
          </w:tblCellMar>
        </w:tblPrEx>
        <w:trPr>
          <w:trHeight w:val="540" w:hRule="atLeast"/>
        </w:trPr>
        <w:tc>
          <w:tcPr>
            <w:tcW w:w="3265"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政府性基金上级补助收入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14407</w:t>
            </w:r>
          </w:p>
        </w:tc>
        <w:tc>
          <w:tcPr>
            <w:tcW w:w="3630"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政府性基金补助下级支出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CellMar>
            <w:top w:w="15" w:type="dxa"/>
            <w:left w:w="15" w:type="dxa"/>
            <w:bottom w:w="15" w:type="dxa"/>
            <w:right w:w="15" w:type="dxa"/>
          </w:tblCellMar>
        </w:tblPrEx>
        <w:trPr>
          <w:trHeight w:val="540" w:hRule="atLeast"/>
        </w:trPr>
        <w:tc>
          <w:tcPr>
            <w:tcW w:w="3265"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其中:政府性基金地震灾后恢复重建补助收入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c>
          <w:tcPr>
            <w:tcW w:w="3630"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其中:政府性基金地震灾后恢复重建补助支出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CellMar>
            <w:top w:w="15" w:type="dxa"/>
            <w:left w:w="15" w:type="dxa"/>
            <w:bottom w:w="15" w:type="dxa"/>
            <w:right w:w="15" w:type="dxa"/>
          </w:tblCellMar>
        </w:tblPrEx>
        <w:trPr>
          <w:trHeight w:val="540" w:hRule="atLeast"/>
        </w:trPr>
        <w:tc>
          <w:tcPr>
            <w:tcW w:w="3265"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政府性基金省补助计划单列市收入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c>
          <w:tcPr>
            <w:tcW w:w="3630"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政府性基金计划单列市上解省支出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PrEx>
        <w:trPr>
          <w:trHeight w:val="540" w:hRule="atLeast"/>
        </w:trPr>
        <w:tc>
          <w:tcPr>
            <w:tcW w:w="3265"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政府性基金下级上解收入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c>
          <w:tcPr>
            <w:tcW w:w="3630"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政府性基金上解上级支出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CellMar>
            <w:top w:w="15" w:type="dxa"/>
            <w:left w:w="15" w:type="dxa"/>
            <w:bottom w:w="15" w:type="dxa"/>
            <w:right w:w="15" w:type="dxa"/>
          </w:tblCellMar>
        </w:tblPrEx>
        <w:trPr>
          <w:trHeight w:val="540" w:hRule="atLeast"/>
        </w:trPr>
        <w:tc>
          <w:tcPr>
            <w:tcW w:w="3265"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政府性基金计划单列市上解省收入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c>
          <w:tcPr>
            <w:tcW w:w="3630"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政府性基金省补助计划单列市支出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CellMar>
            <w:top w:w="15" w:type="dxa"/>
            <w:left w:w="15" w:type="dxa"/>
            <w:bottom w:w="15" w:type="dxa"/>
            <w:right w:w="15" w:type="dxa"/>
          </w:tblCellMar>
        </w:tblPrEx>
        <w:trPr>
          <w:trHeight w:val="540" w:hRule="atLeast"/>
        </w:trPr>
        <w:tc>
          <w:tcPr>
            <w:tcW w:w="3265"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政府性基金上年结余</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25516</w:t>
            </w:r>
          </w:p>
        </w:tc>
        <w:tc>
          <w:tcPr>
            <w:tcW w:w="3630"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政府性基金调出资金</w:t>
            </w:r>
          </w:p>
        </w:tc>
        <w:tc>
          <w:tcPr>
            <w:tcW w:w="1020" w:type="dxa"/>
            <w:tcBorders>
              <w:top w:val="single" w:color="000000" w:sz="4" w:space="0"/>
              <w:left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0</w:t>
            </w:r>
          </w:p>
        </w:tc>
      </w:tr>
      <w:tr>
        <w:tblPrEx>
          <w:tblLayout w:type="fixed"/>
          <w:tblCellMar>
            <w:top w:w="15" w:type="dxa"/>
            <w:left w:w="15" w:type="dxa"/>
            <w:bottom w:w="15" w:type="dxa"/>
            <w:right w:w="15" w:type="dxa"/>
          </w:tblCellMar>
        </w:tblPrEx>
        <w:trPr>
          <w:trHeight w:val="540" w:hRule="atLeast"/>
        </w:trPr>
        <w:tc>
          <w:tcPr>
            <w:tcW w:w="3265"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政府性基金调入资金</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c>
          <w:tcPr>
            <w:tcW w:w="3630"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政府性基金年终结余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lang w:eastAsia="zh-CN"/>
              </w:rPr>
            </w:pPr>
            <w:r>
              <w:rPr>
                <w:rFonts w:hint="eastAsia" w:ascii="仿宋_GB2312" w:hAnsi="仿宋" w:eastAsia="仿宋_GB2312" w:cs="仿宋"/>
                <w:kern w:val="0"/>
                <w:sz w:val="24"/>
                <w:lang w:val="en-US" w:eastAsia="zh-CN"/>
              </w:rPr>
              <w:t>0</w:t>
            </w:r>
          </w:p>
        </w:tc>
      </w:tr>
      <w:tr>
        <w:tblPrEx>
          <w:tblLayout w:type="fixed"/>
          <w:tblCellMar>
            <w:top w:w="15" w:type="dxa"/>
            <w:left w:w="15" w:type="dxa"/>
            <w:bottom w:w="15" w:type="dxa"/>
            <w:right w:w="15" w:type="dxa"/>
          </w:tblCellMar>
        </w:tblPrEx>
        <w:trPr>
          <w:trHeight w:val="540" w:hRule="atLeast"/>
        </w:trPr>
        <w:tc>
          <w:tcPr>
            <w:tcW w:w="3265"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1.公共财政预算调入</w:t>
            </w:r>
          </w:p>
        </w:tc>
        <w:tc>
          <w:tcPr>
            <w:tcW w:w="990" w:type="dxa"/>
            <w:tcBorders>
              <w:top w:val="single" w:color="000000" w:sz="4" w:space="0"/>
              <w:left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c>
          <w:tcPr>
            <w:tcW w:w="3630"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c>
          <w:tcPr>
            <w:tcW w:w="1020" w:type="dxa"/>
            <w:tcBorders>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CellMar>
            <w:top w:w="15" w:type="dxa"/>
            <w:left w:w="15" w:type="dxa"/>
            <w:bottom w:w="15" w:type="dxa"/>
            <w:right w:w="15" w:type="dxa"/>
          </w:tblCellMar>
        </w:tblPrEx>
        <w:trPr>
          <w:trHeight w:val="540" w:hRule="atLeast"/>
        </w:trPr>
        <w:tc>
          <w:tcPr>
            <w:tcW w:w="3265"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2.财政专户管理资金调入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c>
          <w:tcPr>
            <w:tcW w:w="3630"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PrEx>
        <w:trPr>
          <w:trHeight w:val="540" w:hRule="atLeast"/>
        </w:trPr>
        <w:tc>
          <w:tcPr>
            <w:tcW w:w="3265"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r>
              <w:rPr>
                <w:rFonts w:hint="eastAsia" w:ascii="仿宋_GB2312" w:hAnsi="仿宋" w:eastAsia="仿宋_GB2312" w:cs="仿宋"/>
                <w:kern w:val="0"/>
                <w:sz w:val="24"/>
              </w:rPr>
              <w:t>3.其他调入</w:t>
            </w:r>
          </w:p>
        </w:tc>
        <w:tc>
          <w:tcPr>
            <w:tcW w:w="990" w:type="dxa"/>
            <w:tcBorders>
              <w:left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c>
          <w:tcPr>
            <w:tcW w:w="3630"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c>
          <w:tcPr>
            <w:tcW w:w="1020" w:type="dxa"/>
            <w:tcBorders>
              <w:top w:val="single" w:color="000000" w:sz="4" w:space="0"/>
              <w:left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kern w:val="0"/>
                <w:sz w:val="24"/>
              </w:rPr>
            </w:pPr>
          </w:p>
        </w:tc>
      </w:tr>
      <w:tr>
        <w:tblPrEx>
          <w:tblLayout w:type="fixed"/>
          <w:tblCellMar>
            <w:top w:w="15" w:type="dxa"/>
            <w:left w:w="15" w:type="dxa"/>
            <w:bottom w:w="15" w:type="dxa"/>
            <w:right w:w="15" w:type="dxa"/>
          </w:tblCellMar>
        </w:tblPrEx>
        <w:trPr>
          <w:trHeight w:val="540" w:hRule="atLeast"/>
        </w:trPr>
        <w:tc>
          <w:tcPr>
            <w:tcW w:w="3265" w:type="dxa"/>
            <w:tcBorders>
              <w:top w:val="single" w:color="000000" w:sz="4" w:space="0"/>
              <w:left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b/>
                <w:bCs/>
                <w:kern w:val="0"/>
                <w:sz w:val="24"/>
              </w:rPr>
            </w:pPr>
            <w:r>
              <w:rPr>
                <w:rFonts w:hint="eastAsia" w:ascii="仿宋_GB2312" w:hAnsi="仿宋" w:eastAsia="仿宋_GB2312" w:cs="仿宋"/>
                <w:b/>
                <w:bCs/>
                <w:kern w:val="0"/>
                <w:sz w:val="24"/>
              </w:rPr>
              <w:t>收　入　总　计</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bCs/>
                <w:kern w:val="0"/>
                <w:sz w:val="24"/>
              </w:rPr>
            </w:pPr>
            <w:r>
              <w:rPr>
                <w:rFonts w:hint="eastAsia" w:ascii="仿宋_GB2312" w:hAnsi="仿宋" w:eastAsia="仿宋_GB2312" w:cs="仿宋"/>
                <w:bCs/>
                <w:kern w:val="0"/>
                <w:sz w:val="24"/>
              </w:rPr>
              <w:t>9</w:t>
            </w:r>
            <w:r>
              <w:rPr>
                <w:rFonts w:hint="eastAsia" w:ascii="仿宋_GB2312" w:hAnsi="仿宋" w:eastAsia="仿宋_GB2312" w:cs="仿宋"/>
                <w:bCs/>
                <w:kern w:val="0"/>
                <w:sz w:val="24"/>
                <w:lang w:val="en-US" w:eastAsia="zh-CN"/>
              </w:rPr>
              <w:t>8377</w:t>
            </w:r>
          </w:p>
        </w:tc>
        <w:tc>
          <w:tcPr>
            <w:tcW w:w="3630" w:type="dxa"/>
            <w:tcBorders>
              <w:top w:val="single" w:color="000000" w:sz="4" w:space="0"/>
              <w:bottom w:val="single" w:color="000000" w:sz="4" w:space="0"/>
            </w:tcBorders>
            <w:shd w:val="clear" w:color="auto" w:fill="FFFFFF"/>
            <w:vAlign w:val="center"/>
          </w:tcPr>
          <w:p>
            <w:pPr>
              <w:widowControl/>
              <w:jc w:val="center"/>
              <w:rPr>
                <w:rFonts w:hint="eastAsia" w:ascii="仿宋_GB2312" w:hAnsi="仿宋" w:eastAsia="仿宋_GB2312" w:cs="仿宋"/>
                <w:b/>
                <w:bCs/>
                <w:kern w:val="0"/>
                <w:sz w:val="24"/>
              </w:rPr>
            </w:pPr>
            <w:r>
              <w:rPr>
                <w:rFonts w:hint="eastAsia" w:ascii="仿宋_GB2312" w:hAnsi="仿宋" w:eastAsia="仿宋_GB2312" w:cs="仿宋"/>
                <w:b/>
                <w:bCs/>
                <w:kern w:val="0"/>
                <w:sz w:val="24"/>
              </w:rPr>
              <w:t>支　出　总　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 w:eastAsia="仿宋_GB2312" w:cs="仿宋"/>
                <w:bCs/>
                <w:kern w:val="0"/>
                <w:sz w:val="24"/>
              </w:rPr>
            </w:pPr>
            <w:r>
              <w:rPr>
                <w:rFonts w:hint="eastAsia" w:ascii="仿宋_GB2312" w:hAnsi="仿宋" w:eastAsia="仿宋_GB2312" w:cs="仿宋"/>
                <w:bCs/>
                <w:kern w:val="0"/>
                <w:sz w:val="24"/>
              </w:rPr>
              <w:t>9</w:t>
            </w:r>
            <w:r>
              <w:rPr>
                <w:rFonts w:hint="eastAsia" w:ascii="仿宋_GB2312" w:hAnsi="仿宋" w:eastAsia="仿宋_GB2312" w:cs="仿宋"/>
                <w:bCs/>
                <w:kern w:val="0"/>
                <w:sz w:val="24"/>
                <w:lang w:val="en-US" w:eastAsia="zh-CN"/>
              </w:rPr>
              <w:t>8377</w:t>
            </w:r>
            <w:bookmarkStart w:id="2" w:name="_GoBack"/>
            <w:bookmarkEnd w:id="2"/>
          </w:p>
        </w:tc>
      </w:tr>
    </w:tbl>
    <w:p>
      <w:pPr>
        <w:spacing w:line="640" w:lineRule="exact"/>
        <w:rPr>
          <w:rFonts w:hint="eastAsia" w:ascii="仿宋_GB2312" w:hAnsi="仿宋" w:eastAsia="仿宋_GB2312"/>
          <w:sz w:val="32"/>
          <w:szCs w:val="32"/>
        </w:rPr>
      </w:pPr>
    </w:p>
    <w:p>
      <w:pPr>
        <w:spacing w:line="640" w:lineRule="exact"/>
        <w:rPr>
          <w:rFonts w:hint="eastAsia" w:ascii="仿宋_GB2312" w:hAnsi="仿宋" w:eastAsia="仿宋_GB2312"/>
          <w:sz w:val="32"/>
          <w:szCs w:val="32"/>
        </w:rPr>
      </w:pPr>
    </w:p>
    <w:p>
      <w:pPr>
        <w:spacing w:line="640" w:lineRule="exact"/>
        <w:rPr>
          <w:rFonts w:hint="eastAsia" w:ascii="仿宋_GB2312" w:hAnsi="仿宋" w:eastAsia="仿宋_GB2312"/>
          <w:sz w:val="32"/>
          <w:szCs w:val="32"/>
        </w:rPr>
      </w:pPr>
    </w:p>
    <w:p>
      <w:pPr>
        <w:spacing w:line="640" w:lineRule="exact"/>
        <w:rPr>
          <w:rFonts w:hint="eastAsia" w:ascii="仿宋_GB2312" w:hAnsi="仿宋" w:eastAsia="仿宋_GB2312"/>
          <w:sz w:val="32"/>
          <w:szCs w:val="32"/>
        </w:rPr>
      </w:pPr>
    </w:p>
    <w:p>
      <w:pPr>
        <w:spacing w:line="640" w:lineRule="exact"/>
        <w:rPr>
          <w:rFonts w:hint="eastAsia" w:ascii="仿宋_GB2312" w:hAnsi="仿宋" w:eastAsia="仿宋_GB2312"/>
          <w:sz w:val="32"/>
          <w:szCs w:val="32"/>
        </w:rPr>
      </w:pPr>
    </w:p>
    <w:p>
      <w:pPr>
        <w:jc w:val="left"/>
        <w:rPr>
          <w:rFonts w:hint="eastAsia" w:ascii="方正小标宋简体" w:hAnsi="宋体" w:eastAsia="方正小标宋简体"/>
          <w:sz w:val="28"/>
          <w:szCs w:val="28"/>
        </w:rPr>
      </w:pPr>
      <w:r>
        <w:rPr>
          <w:rFonts w:hint="eastAsia" w:ascii="方正小标宋简体" w:hAnsi="宋体" w:eastAsia="方正小标宋简体"/>
          <w:sz w:val="28"/>
          <w:szCs w:val="28"/>
        </w:rPr>
        <w:t>附：</w:t>
      </w:r>
    </w:p>
    <w:p>
      <w:pPr>
        <w:jc w:val="center"/>
        <w:rPr>
          <w:rFonts w:hint="eastAsia" w:ascii="方正小标宋简体" w:hAnsi="宋体" w:eastAsia="方正小标宋简体"/>
          <w:sz w:val="36"/>
          <w:szCs w:val="36"/>
        </w:rPr>
      </w:pPr>
      <w:r>
        <w:rPr>
          <w:rFonts w:hint="eastAsia" w:ascii="方正小标宋简体" w:hAnsi="宋体" w:eastAsia="方正小标宋简体"/>
          <w:b/>
          <w:sz w:val="36"/>
          <w:szCs w:val="36"/>
        </w:rPr>
        <w:t>报告涉及的政策概念、专业名词解释</w:t>
      </w:r>
    </w:p>
    <w:p>
      <w:pPr>
        <w:adjustRightInd w:val="0"/>
        <w:snapToGrid w:val="0"/>
        <w:spacing w:line="360" w:lineRule="auto"/>
        <w:ind w:firstLine="600" w:firstLineChars="200"/>
        <w:jc w:val="left"/>
        <w:rPr>
          <w:rFonts w:hint="eastAsia" w:ascii="仿宋_GB2312" w:hAnsi="仿宋" w:eastAsia="仿宋_GB2312" w:cs="仿宋"/>
          <w:b/>
          <w:bCs/>
          <w:sz w:val="30"/>
          <w:szCs w:val="30"/>
        </w:rPr>
      </w:pPr>
    </w:p>
    <w:p>
      <w:pPr>
        <w:adjustRightInd w:val="0"/>
        <w:snapToGrid w:val="0"/>
        <w:spacing w:line="360" w:lineRule="auto"/>
        <w:ind w:firstLine="640" w:firstLineChars="200"/>
        <w:jc w:val="left"/>
        <w:rPr>
          <w:rFonts w:hint="eastAsia" w:ascii="仿宋_GB2312" w:hAnsi="仿宋" w:eastAsia="仿宋_GB2312" w:cs="仿宋"/>
          <w:sz w:val="32"/>
          <w:szCs w:val="32"/>
        </w:rPr>
      </w:pPr>
      <w:r>
        <w:rPr>
          <w:rFonts w:hint="eastAsia" w:ascii="仿宋_GB2312" w:hAnsi="仿宋" w:eastAsia="仿宋_GB2312" w:cs="仿宋"/>
          <w:b/>
          <w:bCs/>
          <w:sz w:val="32"/>
          <w:szCs w:val="32"/>
        </w:rPr>
        <w:t>1、公共财政：</w:t>
      </w:r>
      <w:r>
        <w:rPr>
          <w:rFonts w:hint="eastAsia" w:ascii="仿宋_GB2312" w:hAnsi="仿宋" w:eastAsia="仿宋_GB2312" w:cs="仿宋"/>
          <w:sz w:val="32"/>
          <w:szCs w:val="32"/>
        </w:rPr>
        <w:t>公共财政是指在市场经济条件下，主要为满足社会公共需要而进行的政府收支活动模式或财政运行机制模式，国家以社会和经济管理者身份参与社会分配，并将收入用于政府公共活动支出，为社会提供公共产品和公共服务，以保障和改善民生，保证国家机器正常运转，维护国家安全和社会秩序，促进经济社会协调发展。</w:t>
      </w:r>
    </w:p>
    <w:p>
      <w:pPr>
        <w:widowControl/>
        <w:adjustRightInd w:val="0"/>
        <w:snapToGrid w:val="0"/>
        <w:spacing w:line="360" w:lineRule="auto"/>
        <w:ind w:firstLine="640" w:firstLineChars="200"/>
        <w:jc w:val="left"/>
        <w:rPr>
          <w:rFonts w:hint="eastAsia" w:ascii="仿宋_GB2312" w:hAnsi="仿宋" w:eastAsia="仿宋_GB2312" w:cs="仿宋"/>
          <w:kern w:val="0"/>
          <w:sz w:val="32"/>
          <w:szCs w:val="32"/>
        </w:rPr>
      </w:pPr>
      <w:r>
        <w:rPr>
          <w:rFonts w:hint="eastAsia" w:ascii="仿宋_GB2312" w:hAnsi="仿宋" w:eastAsia="仿宋_GB2312" w:cs="仿宋"/>
          <w:b/>
          <w:bCs/>
          <w:kern w:val="0"/>
          <w:sz w:val="32"/>
          <w:szCs w:val="32"/>
        </w:rPr>
        <w:t>2、部门预算：</w:t>
      </w:r>
      <w:r>
        <w:rPr>
          <w:rFonts w:hint="eastAsia" w:ascii="仿宋_GB2312" w:hAnsi="仿宋" w:eastAsia="仿宋_GB2312" w:cs="仿宋"/>
          <w:kern w:val="0"/>
          <w:sz w:val="32"/>
          <w:szCs w:val="32"/>
        </w:rPr>
        <w:t>是一个部门一本预算。包括：（1）基本支出预算：是行政事业单位为保障其机构正常运转、完成日常工作任务而编制的年度支出计划，包括人员经费和公用经费。（2）项目支出预算：是行政事业单位为完成其本身的行政工作任务或事业发展目标确定的年度事业发展项目。</w:t>
      </w:r>
    </w:p>
    <w:p>
      <w:pPr>
        <w:widowControl/>
        <w:adjustRightInd w:val="0"/>
        <w:snapToGrid w:val="0"/>
        <w:spacing w:line="360" w:lineRule="auto"/>
        <w:ind w:firstLine="640" w:firstLineChars="200"/>
        <w:jc w:val="left"/>
        <w:rPr>
          <w:rFonts w:hint="eastAsia" w:ascii="仿宋_GB2312" w:hAnsi="仿宋" w:eastAsia="仿宋_GB2312" w:cs="仿宋"/>
          <w:kern w:val="0"/>
          <w:sz w:val="32"/>
          <w:szCs w:val="32"/>
        </w:rPr>
      </w:pPr>
      <w:r>
        <w:rPr>
          <w:rFonts w:hint="eastAsia" w:ascii="仿宋_GB2312" w:hAnsi="仿宋" w:eastAsia="仿宋_GB2312" w:cs="仿宋"/>
          <w:b/>
          <w:bCs/>
          <w:sz w:val="32"/>
          <w:szCs w:val="32"/>
        </w:rPr>
        <w:t>3、</w:t>
      </w:r>
      <w:r>
        <w:rPr>
          <w:rFonts w:hint="eastAsia" w:ascii="仿宋_GB2312" w:hAnsi="仿宋" w:eastAsia="仿宋_GB2312" w:cs="仿宋"/>
          <w:b/>
          <w:bCs/>
          <w:kern w:val="0"/>
          <w:sz w:val="32"/>
          <w:szCs w:val="32"/>
        </w:rPr>
        <w:t>全口径预算：</w:t>
      </w:r>
      <w:r>
        <w:rPr>
          <w:rFonts w:hint="eastAsia" w:ascii="仿宋_GB2312" w:hAnsi="仿宋" w:eastAsia="仿宋_GB2312" w:cs="仿宋"/>
          <w:kern w:val="0"/>
          <w:sz w:val="32"/>
          <w:szCs w:val="32"/>
        </w:rPr>
        <w:t>就是把政府所有收支全部纳入统一管理，其目标定位于构建一个覆盖所有收支，不存在游离于预算外的政府收支，是将所有类型的财政资金收支都纳入统一管理体系的制度框架。</w:t>
      </w:r>
    </w:p>
    <w:p>
      <w:pPr>
        <w:widowControl/>
        <w:adjustRightInd w:val="0"/>
        <w:snapToGrid w:val="0"/>
        <w:spacing w:line="360" w:lineRule="auto"/>
        <w:ind w:firstLine="640" w:firstLineChars="200"/>
        <w:jc w:val="left"/>
        <w:rPr>
          <w:rFonts w:hint="eastAsia" w:ascii="仿宋_GB2312" w:hAnsi="仿宋" w:eastAsia="仿宋_GB2312" w:cs="仿宋"/>
          <w:sz w:val="32"/>
          <w:szCs w:val="32"/>
        </w:rPr>
      </w:pPr>
      <w:r>
        <w:rPr>
          <w:rFonts w:hint="eastAsia" w:ascii="仿宋_GB2312" w:hAnsi="仿宋" w:eastAsia="仿宋_GB2312" w:cs="仿宋"/>
          <w:kern w:val="0"/>
          <w:sz w:val="32"/>
          <w:szCs w:val="32"/>
        </w:rPr>
        <w:t>新《预算法》第五条明确规定：预算包括一般公共预算、政府性基金预算、国有资本经营预算、社会保险基金预算。一般公共预算、政府性基金预算、国有资本经营预算、社会保险基金预算应当保持完整、独立。政府性基金预算、国有资本经营预算、社会保险基金预算应当与一般公共预算相衔接。</w:t>
      </w:r>
    </w:p>
    <w:p>
      <w:pPr>
        <w:adjustRightInd w:val="0"/>
        <w:snapToGrid w:val="0"/>
        <w:spacing w:line="360" w:lineRule="auto"/>
        <w:ind w:firstLine="640" w:firstLineChars="200"/>
        <w:rPr>
          <w:rFonts w:hint="eastAsia" w:ascii="仿宋_GB2312" w:hAnsi="仿宋" w:eastAsia="仿宋_GB2312" w:cs="仿宋"/>
          <w:kern w:val="0"/>
          <w:sz w:val="32"/>
          <w:szCs w:val="32"/>
        </w:rPr>
      </w:pPr>
      <w:r>
        <w:rPr>
          <w:rFonts w:hint="eastAsia" w:ascii="仿宋_GB2312" w:hAnsi="仿宋" w:eastAsia="仿宋_GB2312" w:cs="仿宋"/>
          <w:b/>
          <w:kern w:val="0"/>
          <w:sz w:val="32"/>
          <w:szCs w:val="32"/>
        </w:rPr>
        <w:t>4、一般公共预算：</w:t>
      </w:r>
      <w:r>
        <w:rPr>
          <w:rFonts w:hint="eastAsia" w:ascii="仿宋_GB2312" w:hAnsi="仿宋" w:eastAsia="仿宋_GB2312" w:cs="仿宋"/>
          <w:kern w:val="0"/>
          <w:sz w:val="32"/>
          <w:szCs w:val="32"/>
        </w:rPr>
        <w:t>是对以税收为主体的财政收入，安排用于保障和改善民生、推动经济社会发展、维护国家安全、维持国家机构正常运转等方面的收支预算。</w:t>
      </w:r>
    </w:p>
    <w:p>
      <w:pPr>
        <w:adjustRightInd w:val="0"/>
        <w:snapToGrid w:val="0"/>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根据新《预算法》，从2015年起，原公共财政预算改称一般公共预算。</w:t>
      </w:r>
    </w:p>
    <w:p>
      <w:pPr>
        <w:widowControl/>
        <w:adjustRightInd w:val="0"/>
        <w:snapToGrid w:val="0"/>
        <w:spacing w:line="360" w:lineRule="auto"/>
        <w:ind w:firstLine="640" w:firstLineChars="200"/>
        <w:jc w:val="left"/>
        <w:rPr>
          <w:rFonts w:hint="eastAsia" w:ascii="仿宋_GB2312" w:hAnsi="仿宋" w:eastAsia="仿宋_GB2312" w:cs="仿宋"/>
          <w:sz w:val="32"/>
          <w:szCs w:val="32"/>
        </w:rPr>
      </w:pPr>
      <w:r>
        <w:rPr>
          <w:rFonts w:hint="eastAsia" w:ascii="仿宋_GB2312" w:hAnsi="仿宋" w:eastAsia="仿宋_GB2312" w:cs="仿宋"/>
          <w:b/>
          <w:bCs/>
          <w:kern w:val="0"/>
          <w:sz w:val="32"/>
          <w:szCs w:val="32"/>
        </w:rPr>
        <w:t>5、</w:t>
      </w:r>
      <w:r>
        <w:rPr>
          <w:rFonts w:hint="eastAsia" w:ascii="仿宋_GB2312" w:hAnsi="仿宋" w:eastAsia="仿宋_GB2312" w:cs="仿宋"/>
          <w:b/>
          <w:kern w:val="0"/>
          <w:sz w:val="32"/>
          <w:szCs w:val="32"/>
        </w:rPr>
        <w:t>政府性基金预算：</w:t>
      </w:r>
      <w:r>
        <w:rPr>
          <w:rFonts w:hint="eastAsia" w:ascii="仿宋_GB2312" w:hAnsi="仿宋" w:eastAsia="仿宋_GB2312" w:cs="仿宋"/>
          <w:kern w:val="0"/>
          <w:sz w:val="32"/>
          <w:szCs w:val="32"/>
        </w:rPr>
        <w:t>是对依照法律、行政法规的规定在一定期限内向特定对象征收、收取或者以其他方式筹集的资金，专项用于特定公共事业发展的收支预算。应当根据基金项目收入情况和实际支出需要，按基金项目编制，做到以收定支。</w:t>
      </w:r>
    </w:p>
    <w:p>
      <w:pPr>
        <w:widowControl/>
        <w:adjustRightInd w:val="0"/>
        <w:snapToGrid w:val="0"/>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b/>
          <w:bCs/>
          <w:kern w:val="0"/>
          <w:sz w:val="32"/>
          <w:szCs w:val="32"/>
        </w:rPr>
        <w:t>6、</w:t>
      </w:r>
      <w:r>
        <w:rPr>
          <w:rFonts w:hint="eastAsia" w:ascii="仿宋_GB2312" w:hAnsi="仿宋" w:eastAsia="仿宋_GB2312" w:cs="仿宋"/>
          <w:b/>
          <w:kern w:val="0"/>
          <w:sz w:val="32"/>
          <w:szCs w:val="32"/>
        </w:rPr>
        <w:t>国有资本经营预算：</w:t>
      </w:r>
      <w:r>
        <w:rPr>
          <w:rFonts w:hint="eastAsia" w:ascii="仿宋_GB2312" w:hAnsi="仿宋" w:eastAsia="仿宋_GB2312" w:cs="仿宋"/>
          <w:kern w:val="0"/>
          <w:sz w:val="32"/>
          <w:szCs w:val="32"/>
        </w:rPr>
        <w:t>是对国有资本收益作出支出安排的收支预算。应当按照收支平衡的原则编制，不列赤字，并安排资金调入一般公共预算。根据我县国有资本经营现状，我县不单独编制国有资本经营预算。</w:t>
      </w:r>
    </w:p>
    <w:p>
      <w:pPr>
        <w:widowControl/>
        <w:adjustRightInd w:val="0"/>
        <w:snapToGrid w:val="0"/>
        <w:spacing w:line="360" w:lineRule="auto"/>
        <w:ind w:firstLine="640" w:firstLineChars="200"/>
        <w:jc w:val="left"/>
        <w:rPr>
          <w:rFonts w:hint="eastAsia" w:ascii="仿宋_GB2312" w:hAnsi="仿宋" w:eastAsia="仿宋_GB2312" w:cs="仿宋"/>
          <w:sz w:val="32"/>
          <w:szCs w:val="32"/>
        </w:rPr>
      </w:pPr>
      <w:r>
        <w:rPr>
          <w:rFonts w:hint="eastAsia" w:ascii="仿宋_GB2312" w:hAnsi="仿宋" w:eastAsia="仿宋_GB2312" w:cs="仿宋"/>
          <w:b/>
          <w:bCs/>
          <w:kern w:val="0"/>
          <w:sz w:val="32"/>
          <w:szCs w:val="32"/>
        </w:rPr>
        <w:t>7、</w:t>
      </w:r>
      <w:r>
        <w:rPr>
          <w:rFonts w:hint="eastAsia" w:ascii="仿宋_GB2312" w:hAnsi="仿宋" w:eastAsia="仿宋_GB2312" w:cs="仿宋"/>
          <w:b/>
          <w:kern w:val="0"/>
          <w:sz w:val="32"/>
          <w:szCs w:val="32"/>
        </w:rPr>
        <w:t>社会保险基金预算：</w:t>
      </w:r>
      <w:r>
        <w:rPr>
          <w:rFonts w:hint="eastAsia" w:ascii="仿宋_GB2312" w:hAnsi="仿宋" w:eastAsia="仿宋_GB2312" w:cs="仿宋"/>
          <w:kern w:val="0"/>
          <w:sz w:val="32"/>
          <w:szCs w:val="32"/>
        </w:rPr>
        <w:t>是对社会保险缴款、一般公共预算安排和其他方式筹集的资金，专项用于社会保险的收支预算。应当按照统筹层次和社会保险项目分别编制，做到收支平衡。</w:t>
      </w:r>
    </w:p>
    <w:p>
      <w:pPr>
        <w:adjustRightInd w:val="0"/>
        <w:snapToGrid w:val="0"/>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8、税收收入：</w:t>
      </w:r>
      <w:r>
        <w:rPr>
          <w:rFonts w:hint="eastAsia" w:ascii="仿宋_GB2312" w:hAnsi="仿宋" w:eastAsia="仿宋_GB2312" w:cs="仿宋"/>
          <w:sz w:val="32"/>
          <w:szCs w:val="32"/>
        </w:rPr>
        <w:t>税收是财政收入的主要来源，具有组织财政收入、调节经济和收入分配的基本职能。目前我国共有18个税种，其中16个税种由税务部门负责征收，关税和船舶吨税由海关征收。按照现行财政体制管理规定，税收收入包括中央税收收入和地方税收收入。目前我县公共财政预算收入中的地方税收收入共有13种。</w:t>
      </w:r>
    </w:p>
    <w:p>
      <w:pPr>
        <w:adjustRightInd w:val="0"/>
        <w:snapToGrid w:val="0"/>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b/>
          <w:sz w:val="32"/>
          <w:szCs w:val="32"/>
        </w:rPr>
        <w:t>9、非税收入：</w:t>
      </w:r>
      <w:r>
        <w:rPr>
          <w:rFonts w:hint="eastAsia" w:ascii="仿宋_GB2312" w:hAnsi="仿宋" w:eastAsia="仿宋_GB2312" w:cs="仿宋"/>
          <w:sz w:val="32"/>
          <w:szCs w:val="32"/>
        </w:rPr>
        <w:t>由各级政府、国家机关、事业单位、代行政府职能的社会团体及其他组织，依法利用政府权力、政府信誉、国家资源、国有资产或提供特定公共服务征收、收取、提取、募集的除税收和政府债务以外的财政收入。各类非税收入的取得依据有所不同，行政事业性收费、政府性基金、罚没收入是利用行政权力征收的，具有强制性；国有资源有偿使用收入、国有资产有偿使用收入、国有资本经营收入是利用国家资源和国有资产所有权取得的，体现了国家作为所有者或出资人的权益；彩票公益金、以政府名义接受的捐赠收入是依托政府信誉募集的，遵循自愿原则。</w:t>
      </w:r>
    </w:p>
    <w:p>
      <w:pPr>
        <w:adjustRightInd w:val="0"/>
        <w:snapToGrid w:val="0"/>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b/>
          <w:sz w:val="32"/>
          <w:szCs w:val="32"/>
        </w:rPr>
        <w:t>10、税收占一般公共预算收入的比重：</w:t>
      </w:r>
      <w:r>
        <w:rPr>
          <w:rFonts w:hint="eastAsia" w:ascii="仿宋_GB2312" w:hAnsi="仿宋" w:eastAsia="仿宋_GB2312" w:cs="仿宋"/>
          <w:sz w:val="32"/>
          <w:szCs w:val="32"/>
        </w:rPr>
        <w:t>税收收入占一般公共预算收入的比重是衡量政府财政收入结构和质量的重要指标。比重越高，说明财政收入结构越好，质量越高。究其原因在于，一般公共预算收入由税收收入和非税收入两部分组成。相对而言，税收收入与经济发展的相关性更强。经济蛋糕越大、效益越好，税收收入就越多，税收在整个财政收入中的比重就越大。</w:t>
      </w:r>
    </w:p>
    <w:p>
      <w:pPr>
        <w:adjustRightInd w:val="0"/>
        <w:snapToGrid w:val="0"/>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b/>
          <w:sz w:val="32"/>
          <w:szCs w:val="32"/>
        </w:rPr>
        <w:t>11、调整后支出预算数：</w:t>
      </w:r>
      <w:r>
        <w:rPr>
          <w:rFonts w:hint="eastAsia" w:ascii="仿宋_GB2312" w:hAnsi="仿宋" w:eastAsia="仿宋_GB2312" w:cs="仿宋"/>
          <w:sz w:val="32"/>
          <w:szCs w:val="32"/>
        </w:rPr>
        <w:t>在编制年初预算时，一些上级补助很难准确预计并编入年初预算，同时，地方公共财政预算收入可能比年初预算超收，这些因素在实际发生时，都需要相应调整支出预算。比如：</w:t>
      </w:r>
    </w:p>
    <w:p>
      <w:pPr>
        <w:adjustRightInd w:val="0"/>
        <w:snapToGrid w:val="0"/>
        <w:spacing w:line="360" w:lineRule="auto"/>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①2010年初，河南省各级人大批准的一般预算支出合计为2274.9亿元。执行中，中央专项补助811.3亿元，发行地方政府债券93亿元，加上中央新增财力补助、动用上年结余、上年结转、调入资金等安排336.5亿元，调整后支出预算为3515.7亿元，全年实际支出为调整预算的97.1%。</w:t>
      </w:r>
    </w:p>
    <w:p>
      <w:pPr>
        <w:adjustRightInd w:val="0"/>
        <w:snapToGrid w:val="0"/>
        <w:spacing w:line="360" w:lineRule="auto"/>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②2011年初，河南省各级人大批准的全省一般支出预算合计2938.33亿元（含中央提前告知专项转移支付、上年结余结转等资金597.03亿元），预算执行中，中央专项补助比提前告知列入年初预算数增加560.67亿元，加上中央新增财力补助、动用上年结余、上年结转、调入资金等安排支出840.24亿元，地方政府债券安排支出93亿元，调整后支出预算4432.24亿元。实际完成4248.82亿元，为调整预算的95.9%，增长24.4%。</w:t>
      </w:r>
    </w:p>
    <w:p>
      <w:pPr>
        <w:adjustRightInd w:val="0"/>
        <w:snapToGrid w:val="0"/>
        <w:spacing w:line="360" w:lineRule="auto"/>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③2012年初，河南省各级人大批准的全省公共财政支出预算为3800.6亿元。执行中，由于中央增加补助、使用财政部代理发行政府债券和超收收入安排支出等因素，公共财政支出预算调整为5151.8亿元。实际完成5006亿元，为调整预算的97.2%。</w:t>
      </w:r>
    </w:p>
    <w:p>
      <w:pPr>
        <w:adjustRightInd w:val="0"/>
        <w:snapToGrid w:val="0"/>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12、财政转移支付：</w:t>
      </w:r>
      <w:r>
        <w:rPr>
          <w:rFonts w:hint="eastAsia" w:ascii="仿宋_GB2312" w:hAnsi="仿宋" w:eastAsia="仿宋_GB2312" w:cs="仿宋"/>
          <w:sz w:val="32"/>
          <w:szCs w:val="32"/>
        </w:rPr>
        <w:t>财政转移支付是指上级政府按照国家和地方有关法律法规、财政体制和政策规定，给予下级政府的补助资金。现行中央对地方，以及本市市对区县的转移支付，主要包括一般性转移支付和专项转移支付。</w:t>
      </w:r>
    </w:p>
    <w:p>
      <w:pPr>
        <w:adjustRightInd w:val="0"/>
        <w:snapToGrid w:val="0"/>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b/>
          <w:sz w:val="32"/>
          <w:szCs w:val="32"/>
        </w:rPr>
        <w:t>13、一般性转移支付：</w:t>
      </w:r>
      <w:r>
        <w:rPr>
          <w:rFonts w:hint="eastAsia" w:ascii="仿宋_GB2312" w:hAnsi="仿宋" w:eastAsia="仿宋_GB2312" w:cs="仿宋"/>
          <w:sz w:val="32"/>
          <w:szCs w:val="32"/>
        </w:rPr>
        <w:t>一般性转移支付是指政府间财力性转移支付，目前主要有均衡性转移支付、调整工资转移支付、农村税费改革补助、县级基本财力保障机制奖补资金、成品油价格和税费改革转移支付、公共安全转移支付、教育转移支付、社会保障和就业转移支付、民族地区转移支付、资源枯竭型城市转移支付等。</w:t>
      </w:r>
    </w:p>
    <w:p>
      <w:pPr>
        <w:adjustRightInd w:val="0"/>
        <w:snapToGrid w:val="0"/>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b/>
          <w:sz w:val="32"/>
          <w:szCs w:val="32"/>
        </w:rPr>
        <w:t>14、专项转移支付：</w:t>
      </w:r>
      <w:r>
        <w:rPr>
          <w:rFonts w:hint="eastAsia" w:ascii="仿宋_GB2312" w:hAnsi="仿宋" w:eastAsia="仿宋_GB2312" w:cs="仿宋"/>
          <w:sz w:val="32"/>
          <w:szCs w:val="32"/>
        </w:rPr>
        <w:t>专项转移支付是指上级政府对承担委托事务、共同事务的地方政府给予的具有指定用途的资金补助，以及对应由下级政府承担的事务给予的具有指定用途的奖励或补助。主要用于教育、社会保障、农业等方面。</w:t>
      </w:r>
    </w:p>
    <w:p>
      <w:pPr>
        <w:adjustRightInd w:val="0"/>
        <w:snapToGrid w:val="0"/>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15、民生支出：</w:t>
      </w:r>
      <w:r>
        <w:rPr>
          <w:rFonts w:hint="eastAsia" w:ascii="仿宋_GB2312" w:hAnsi="仿宋" w:eastAsia="仿宋_GB2312" w:cs="仿宋"/>
          <w:sz w:val="32"/>
          <w:szCs w:val="32"/>
        </w:rPr>
        <w:t>参照财政部统计口径，民生支出是指用在与人民群众生活直接相关的教育、科技、医疗卫生、社会保障和就业、住房保障、文化体育与传媒方面的支出，再加上农林水事务、交通运输、节能环保和城乡社区事务等与民生密切相关的支出。</w:t>
      </w:r>
    </w:p>
    <w:p>
      <w:pPr>
        <w:adjustRightInd w:val="0"/>
        <w:snapToGrid w:val="0"/>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16、国库集中收付制度</w:t>
      </w:r>
      <w:r>
        <w:rPr>
          <w:rFonts w:hint="eastAsia" w:ascii="仿宋_GB2312" w:hAnsi="仿宋" w:eastAsia="仿宋_GB2312" w:cs="仿宋"/>
          <w:sz w:val="32"/>
          <w:szCs w:val="32"/>
        </w:rPr>
        <w:t>：国库集中收付制度包括预算收入集中入库和预算资金集中支付两个方面，其核心是通过国库单一账户对预算资金进行集中管理。其基本框架是在银行开设国库单一账户，所有财政性资金逐步纳入各级预算统一管理，财政收入直接缴入国库，各单位可以根据自身的权限，在批准的预算项目和额度内自行决定购买何种商品和劳务，但财政支出均从国库单一账户直接支付给商品和劳务供应者。国库集中收付制的基本特征：一是财政统一开设国库单一账户，各预算单位不再设有银行账户。二是所有财政收入直接缴入国库，所有财政支出均根据部门预算由财政集中支付到商品或劳务供应者。三是建立高效的预算执行机构、科学的信息管理系统和完善的监督检查机制。</w:t>
      </w:r>
    </w:p>
    <w:p>
      <w:pPr>
        <w:adjustRightInd w:val="0"/>
        <w:snapToGrid w:val="0"/>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17、“收支两条线”管理</w:t>
      </w:r>
      <w:r>
        <w:rPr>
          <w:rFonts w:hint="eastAsia" w:ascii="仿宋_GB2312" w:hAnsi="仿宋" w:eastAsia="仿宋_GB2312" w:cs="仿宋"/>
          <w:sz w:val="32"/>
          <w:szCs w:val="32"/>
        </w:rPr>
        <w:t>：是指政府对行政事业性收费、罚没收入等政府非税收入的管理方式，即有关部门取得的非税收入与发生的支出脱钩，收入上缴国库或财政专户，支出不和收入挂钩，而是由财政部门根据各单位履行职能的需要按标准核定并拨付的资金管理模式。这是一项从源头上预防和治理腐败的重要措施。</w:t>
      </w:r>
    </w:p>
    <w:p>
      <w:pPr>
        <w:adjustRightInd w:val="0"/>
        <w:snapToGrid w:val="0"/>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b/>
          <w:sz w:val="32"/>
          <w:szCs w:val="32"/>
        </w:rPr>
        <w:t>18</w:t>
      </w:r>
      <w:r>
        <w:rPr>
          <w:rFonts w:hint="eastAsia" w:ascii="仿宋_GB2312" w:hAnsi="仿宋" w:eastAsia="仿宋_GB2312" w:cs="仿宋"/>
          <w:b/>
          <w:bCs/>
          <w:sz w:val="32"/>
          <w:szCs w:val="32"/>
        </w:rPr>
        <w:t>、财政投资评审</w:t>
      </w:r>
      <w:r>
        <w:rPr>
          <w:rFonts w:hint="eastAsia" w:ascii="仿宋_GB2312" w:hAnsi="仿宋" w:eastAsia="仿宋_GB2312" w:cs="仿宋"/>
          <w:sz w:val="32"/>
          <w:szCs w:val="32"/>
        </w:rPr>
        <w:t>：财政投资评审是财政职能的重要组成部分，是对财政性资金投资项目的工程概算、预算、和竣工决（结）算进行评估与审查，以及对使用科技三项费、技改贴息、国土资源调查费等财政性资金项目情况进行专项检查的行为；是通过考察、评估和测算财政投资客体运作全过程，对相应的财政投资进行技术性、基础性的审定，保证其使用效益的一项管理工作，是财政部门实施优化资源配置过程中的管理活动。随着社会主义市场经济体制的确立和进一步发展，作为公共财政职能的组成部分——管理和监督职能日益显得重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19、村级公益事业建设“一事一议”财政奖补政策：</w:t>
      </w:r>
      <w:r>
        <w:rPr>
          <w:rFonts w:hint="eastAsia" w:ascii="仿宋_GB2312" w:hAnsi="仿宋_GB2312" w:eastAsia="仿宋_GB2312" w:cs="仿宋_GB2312"/>
          <w:sz w:val="32"/>
          <w:szCs w:val="32"/>
        </w:rPr>
        <w:t>指村民通过规范的“一事一议”筹资筹劳开展村内公益事业建设项目，政府采取以奖代补、民办公助的方式，给予适当财政奖补。其目的是以农民自愿出资出劳为基础，以政府奖补资金为引导，建立多方投入、共同推进的村级公益事业建设投入新机制。</w:t>
      </w:r>
    </w:p>
    <w:p>
      <w:pPr>
        <w:adjustRightInd w:val="0"/>
        <w:snapToGrid w:val="0"/>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20、财政监督：</w:t>
      </w:r>
      <w:r>
        <w:rPr>
          <w:rFonts w:hint="eastAsia" w:ascii="仿宋_GB2312" w:hAnsi="仿宋" w:eastAsia="仿宋_GB2312" w:cs="仿宋"/>
          <w:sz w:val="32"/>
          <w:szCs w:val="32"/>
        </w:rPr>
        <w:t>财政部门对行政机关、企事业单位及其他组织执行财税法律法规和政策情况，以及对涉及财政收支、会计资料和国有资本金管理等事项依法进行的监督检查活动。</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21、乡镇财政资金监管：</w:t>
      </w:r>
      <w:r>
        <w:rPr>
          <w:rFonts w:hint="eastAsia" w:ascii="仿宋_GB2312" w:hAnsi="仿宋_GB2312" w:eastAsia="仿宋_GB2312" w:cs="仿宋_GB2312"/>
          <w:sz w:val="32"/>
          <w:szCs w:val="40"/>
        </w:rPr>
        <w:t>是指财政部门按照相关政策要求及规定，依法依规依程序履行财政监督职能，对各级政府安排和分配用于乡镇以下的各种财政资金的使用管理情况实施监督管理。</w:t>
      </w:r>
    </w:p>
    <w:p>
      <w:pPr>
        <w:adjustRightInd w:val="0"/>
        <w:snapToGrid w:val="0"/>
        <w:spacing w:line="360" w:lineRule="auto"/>
        <w:ind w:firstLine="640" w:firstLineChars="200"/>
        <w:jc w:val="left"/>
        <w:rPr>
          <w:rFonts w:hint="eastAsia" w:ascii="仿宋_GB2312" w:hAnsi="仿宋" w:eastAsia="仿宋_GB2312" w:cs="仿宋"/>
          <w:sz w:val="32"/>
          <w:szCs w:val="32"/>
        </w:rPr>
      </w:pPr>
      <w:r>
        <w:rPr>
          <w:rFonts w:hint="eastAsia" w:ascii="仿宋_GB2312" w:hAnsi="仿宋" w:eastAsia="仿宋_GB2312" w:cs="仿宋"/>
          <w:b/>
          <w:bCs/>
          <w:sz w:val="32"/>
          <w:szCs w:val="32"/>
        </w:rPr>
        <w:t>22、财政工资统发：</w:t>
      </w:r>
      <w:r>
        <w:rPr>
          <w:rFonts w:hint="eastAsia" w:ascii="仿宋_GB2312" w:hAnsi="仿宋" w:eastAsia="仿宋_GB2312" w:cs="仿宋"/>
          <w:sz w:val="32"/>
          <w:szCs w:val="32"/>
        </w:rPr>
        <w:t>按照国家工资制度规定的项目和标准，由财政部门统一发放机关事业单位的个人经费，实现收入透明化。将目前分散发放的津贴、补贴等工资性支出全部纳入财政统一发放范围，这有利于从根本上解决单位擅自扩大补助范围、提高发放标准、乱发各种津贴、补贴等隐形收入的问题，从而解决长期存在的不同部门和单位机关事业人员收入苦乐不均的现象。</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23、公务卡：</w:t>
      </w:r>
      <w:r>
        <w:rPr>
          <w:rFonts w:hint="eastAsia" w:ascii="仿宋_GB2312" w:hAnsi="仿宋_GB2312" w:eastAsia="仿宋_GB2312" w:cs="仿宋_GB2312"/>
          <w:sz w:val="32"/>
          <w:szCs w:val="40"/>
        </w:rPr>
        <w:t>指预算单位工作人员持有的，主要用于日常公务支出和财务报销业务的信用卡。主要目的是减少现金支付结算，提高财政财务透明度。</w:t>
      </w:r>
    </w:p>
    <w:p>
      <w:pPr>
        <w:widowControl/>
        <w:adjustRightInd w:val="0"/>
        <w:snapToGrid w:val="0"/>
        <w:spacing w:line="360" w:lineRule="auto"/>
        <w:ind w:firstLine="640" w:firstLineChars="200"/>
        <w:jc w:val="left"/>
        <w:rPr>
          <w:rFonts w:hint="eastAsia" w:ascii="仿宋_GB2312" w:hAnsi="仿宋" w:eastAsia="仿宋_GB2312" w:cs="仿宋"/>
          <w:kern w:val="0"/>
          <w:sz w:val="32"/>
          <w:szCs w:val="32"/>
        </w:rPr>
      </w:pPr>
      <w:r>
        <w:rPr>
          <w:rFonts w:hint="eastAsia" w:ascii="仿宋_GB2312" w:hAnsi="仿宋" w:eastAsia="仿宋_GB2312" w:cs="仿宋"/>
          <w:b/>
          <w:bCs/>
          <w:kern w:val="0"/>
          <w:sz w:val="32"/>
          <w:szCs w:val="32"/>
        </w:rPr>
        <w:t>24、“三公”经费：</w:t>
      </w:r>
      <w:r>
        <w:rPr>
          <w:rFonts w:hint="eastAsia" w:ascii="仿宋_GB2312" w:hAnsi="仿宋" w:eastAsia="仿宋_GB2312" w:cs="仿宋"/>
          <w:kern w:val="0"/>
          <w:sz w:val="32"/>
          <w:szCs w:val="32"/>
        </w:rPr>
        <w:t>是指财政拨款支出安排的出国（境）费、车辆购置及运行费、公务接待费这三项经费。</w:t>
      </w:r>
    </w:p>
    <w:p>
      <w:pPr>
        <w:widowControl/>
        <w:adjustRightInd w:val="0"/>
        <w:snapToGrid w:val="0"/>
        <w:spacing w:line="360" w:lineRule="auto"/>
        <w:ind w:firstLine="640" w:firstLineChars="200"/>
        <w:jc w:val="left"/>
        <w:rPr>
          <w:rFonts w:hint="eastAsia" w:ascii="仿宋_GB2312" w:hAnsi="仿宋" w:eastAsia="仿宋_GB2312" w:cs="仿宋"/>
          <w:kern w:val="0"/>
          <w:sz w:val="32"/>
          <w:szCs w:val="32"/>
        </w:rPr>
      </w:pPr>
      <w:r>
        <w:rPr>
          <w:rFonts w:hint="eastAsia" w:ascii="仿宋_GB2312" w:hAnsi="仿宋" w:eastAsia="仿宋_GB2312" w:cs="仿宋"/>
          <w:b/>
          <w:kern w:val="0"/>
          <w:sz w:val="32"/>
          <w:szCs w:val="32"/>
        </w:rPr>
        <w:t>25、预算稳定调节基金：</w:t>
      </w:r>
      <w:r>
        <w:rPr>
          <w:rFonts w:hint="eastAsia" w:ascii="仿宋_GB2312" w:hAnsi="仿宋" w:eastAsia="仿宋_GB2312" w:cs="仿宋"/>
          <w:kern w:val="0"/>
          <w:sz w:val="32"/>
          <w:szCs w:val="32"/>
        </w:rPr>
        <w:t>是指各级政府通过超收安排的具有储备性的基金，用于弥补短收年份预算执行的收支缺口，以及视预算平衡情况，在安排年初预算时调入并安排使用，基金的安排使用接受同级人大及其常委会的监督。预算稳定调节基金单设科目，安排或补充基金时在支出方反映，调入使用时在收入方反映。</w:t>
      </w:r>
    </w:p>
    <w:p>
      <w:pPr>
        <w:widowControl/>
        <w:adjustRightInd w:val="0"/>
        <w:snapToGrid w:val="0"/>
        <w:spacing w:line="360" w:lineRule="auto"/>
        <w:ind w:left="10" w:firstLine="640" w:firstLineChars="200"/>
        <w:jc w:val="left"/>
        <w:rPr>
          <w:rFonts w:hint="eastAsia" w:ascii="仿宋_GB2312" w:hAnsi="仿宋" w:eastAsia="仿宋_GB2312" w:cs="仿宋"/>
          <w:kern w:val="0"/>
          <w:sz w:val="32"/>
          <w:szCs w:val="32"/>
        </w:rPr>
      </w:pPr>
      <w:r>
        <w:rPr>
          <w:rFonts w:hint="eastAsia" w:ascii="仿宋_GB2312" w:hAnsi="仿宋" w:eastAsia="仿宋_GB2312" w:cs="仿宋"/>
          <w:b/>
          <w:kern w:val="0"/>
          <w:sz w:val="32"/>
          <w:szCs w:val="32"/>
        </w:rPr>
        <w:t>26、“美丽乡村”建设</w:t>
      </w:r>
      <w:r>
        <w:rPr>
          <w:rFonts w:hint="eastAsia" w:ascii="仿宋_GB2312" w:hAnsi="仿宋" w:eastAsia="仿宋_GB2312" w:cs="仿宋"/>
          <w:kern w:val="0"/>
          <w:sz w:val="32"/>
          <w:szCs w:val="32"/>
        </w:rPr>
        <w:t>：为深入贯彻落实党的十八大和2013年中央1号文件精神，按照2013年全国“一事一议”财政奖补现场会要求，决定将美丽乡村建设作为“一事一议”财政奖补工作的主攻方向，从2013年起启动美丽乡村建设试点。美丽乡村建设试点目标是，适应城乡发展一体化新形势和广大农民过上美好生活的新期待，注重发挥“一事一议”财政奖补资金自下而上民主决策、农村农民需求导向和以县为主统筹使用的制度优势，注重发挥财政资金“四两拨千斤”的引领撬动作用。</w:t>
      </w:r>
    </w:p>
    <w:p>
      <w:pPr>
        <w:pStyle w:val="4"/>
        <w:widowControl/>
        <w:adjustRightInd w:val="0"/>
        <w:snapToGrid w:val="0"/>
        <w:spacing w:line="360" w:lineRule="auto"/>
        <w:ind w:firstLine="640" w:firstLineChars="200"/>
        <w:rPr>
          <w:rFonts w:hint="eastAsia" w:ascii="仿宋_GB2312" w:hAnsi="仿宋" w:eastAsia="仿宋_GB2312" w:cs="仿宋"/>
          <w:sz w:val="32"/>
          <w:szCs w:val="32"/>
        </w:rPr>
      </w:pPr>
      <w:r>
        <w:rPr>
          <w:rStyle w:val="6"/>
          <w:rFonts w:hint="eastAsia" w:ascii="仿宋_GB2312" w:hAnsi="仿宋" w:eastAsia="仿宋_GB2312" w:cs="仿宋"/>
          <w:sz w:val="32"/>
          <w:szCs w:val="32"/>
        </w:rPr>
        <w:t>27、财政收支平衡：</w:t>
      </w:r>
      <w:r>
        <w:rPr>
          <w:rFonts w:hint="eastAsia" w:ascii="仿宋_GB2312" w:hAnsi="仿宋" w:eastAsia="仿宋_GB2312" w:cs="仿宋"/>
          <w:sz w:val="32"/>
          <w:szCs w:val="32"/>
        </w:rPr>
        <w:t>是指年度预算执行的结果，即总收入等于总支出。若总收入大于总支出为预算结余;总支出大于总收入为预算赤字。按照《预算法》的要求，我国省以下地方各级财政实行当年收支平衡，略有结余的方针，不得编制赤字预算，也不准许执行结果中出现预算赤字。</w:t>
      </w:r>
    </w:p>
    <w:p>
      <w:pPr>
        <w:adjustRightInd w:val="0"/>
        <w:snapToGrid w:val="0"/>
        <w:spacing w:line="360" w:lineRule="auto"/>
        <w:ind w:firstLine="640" w:firstLineChars="200"/>
        <w:jc w:val="left"/>
        <w:rPr>
          <w:rFonts w:hint="eastAsia" w:ascii="仿宋_GB2312" w:hAnsi="仿宋" w:eastAsia="仿宋_GB2312" w:cs="仿宋"/>
          <w:sz w:val="32"/>
          <w:szCs w:val="32"/>
        </w:rPr>
      </w:pPr>
      <w:r>
        <w:rPr>
          <w:rStyle w:val="6"/>
          <w:rFonts w:hint="eastAsia" w:ascii="仿宋_GB2312" w:hAnsi="仿宋" w:eastAsia="仿宋_GB2312" w:cs="仿宋"/>
          <w:sz w:val="32"/>
          <w:szCs w:val="32"/>
        </w:rPr>
        <w:t>28、跨年度预算平衡机制：</w:t>
      </w:r>
      <w:r>
        <w:rPr>
          <w:rFonts w:hint="eastAsia" w:ascii="仿宋_GB2312" w:hAnsi="仿宋" w:eastAsia="仿宋_GB2312" w:cs="仿宋"/>
          <w:sz w:val="32"/>
          <w:szCs w:val="32"/>
        </w:rPr>
        <w:t>是对现行单一年度预算平衡机制的一种改进，是指在财政预算编制、执行等环节，建立健全跨年度的、合理的平衡机制，实施依法征税，硬化支出预算约束，更好地发挥财政宏观调控作用。其主要内容：一是预算编制要考虑跨年度平衡。财政收支预算因政策需要可编列赤字，但应在政策推出后分年弥补。二是规范超收的使用和短收的弥补。预算执行中如出现超收，超收收入当年原则上不安排支出，用于削减财政赤字、化解政府性债务，或补充预算稳定调节基金，纳入以后年度预算统筹安排使用;如果出现短收，则按程序通过调入预算稳定调节基金、削减支出或扩大赤字加以解决。三是弱化对收入预算的考核，收入预算从约束性转向预期性，促进依法征管。四是加强对支出政策和支出预算的审查，硬化支出预算约束。</w:t>
      </w:r>
    </w:p>
    <w:p>
      <w:pPr>
        <w:adjustRightInd w:val="0"/>
        <w:snapToGrid w:val="0"/>
        <w:spacing w:line="360" w:lineRule="auto"/>
        <w:ind w:firstLine="640" w:firstLineChars="200"/>
        <w:jc w:val="left"/>
        <w:rPr>
          <w:rFonts w:hint="eastAsia" w:ascii="仿宋_GB2312" w:hAnsi="仿宋" w:eastAsia="仿宋_GB2312" w:cs="仿宋"/>
          <w:sz w:val="32"/>
          <w:szCs w:val="32"/>
        </w:rPr>
      </w:pPr>
      <w:r>
        <w:rPr>
          <w:rFonts w:hint="eastAsia" w:ascii="仿宋_GB2312" w:hAnsi="仿宋" w:eastAsia="仿宋_GB2312" w:cs="仿宋"/>
          <w:b/>
          <w:bCs/>
          <w:sz w:val="32"/>
          <w:szCs w:val="32"/>
        </w:rPr>
        <w:t>29、深化预算管理制度改革：</w:t>
      </w:r>
      <w:r>
        <w:rPr>
          <w:rFonts w:hint="eastAsia" w:ascii="仿宋_GB2312" w:hAnsi="仿宋" w:eastAsia="仿宋_GB2312" w:cs="仿宋"/>
          <w:sz w:val="32"/>
          <w:szCs w:val="32"/>
        </w:rPr>
        <w:t>根据国务院印发《关于深化预算管理制度改革的决定》（国发〔2014〕45号）的要求，全面推进深化预算管理制度改革的各项工作，主要内容包括：完善政府预算体系，积极推进预算公开；改进预算管理和控制，建立跨年度预算平衡机制；加强财政收入管理，清理规范税收优惠政策；优化财政支出结构，加强结转结余资金管理；加强预算执行管理，提高财政支出绩效；规范地方政府债务管理，防范化解财政风险；规范理财行为，严肃财经纪律。</w:t>
      </w:r>
    </w:p>
    <w:p>
      <w:pPr>
        <w:widowControl/>
        <w:wordWrap w:val="0"/>
        <w:adjustRightInd w:val="0"/>
        <w:snapToGrid w:val="0"/>
        <w:spacing w:line="360" w:lineRule="auto"/>
        <w:ind w:firstLine="640" w:firstLineChars="200"/>
        <w:jc w:val="left"/>
        <w:rPr>
          <w:sz w:val="32"/>
          <w:szCs w:val="32"/>
        </w:rPr>
      </w:pPr>
      <w:r>
        <w:rPr>
          <w:rFonts w:hint="eastAsia" w:ascii="仿宋_GB2312" w:hAnsi="仿宋" w:eastAsia="仿宋_GB2312" w:cs="仿宋"/>
          <w:b/>
          <w:kern w:val="0"/>
          <w:sz w:val="32"/>
          <w:szCs w:val="32"/>
        </w:rPr>
        <w:t>30、PPP</w:t>
      </w:r>
      <w:r>
        <w:rPr>
          <w:rFonts w:hint="eastAsia" w:ascii="仿宋_GB2312" w:hAnsi="仿宋" w:eastAsia="仿宋_GB2312" w:cs="仿宋"/>
          <w:kern w:val="0"/>
          <w:sz w:val="32"/>
          <w:szCs w:val="32"/>
        </w:rPr>
        <w:t>（Public-Private-Partnership）</w:t>
      </w:r>
      <w:r>
        <w:rPr>
          <w:rFonts w:hint="eastAsia" w:ascii="仿宋_GB2312" w:hAnsi="仿宋" w:eastAsia="仿宋_GB2312" w:cs="仿宋"/>
          <w:b/>
          <w:kern w:val="0"/>
          <w:sz w:val="32"/>
          <w:szCs w:val="32"/>
        </w:rPr>
        <w:t>模式</w:t>
      </w:r>
      <w:r>
        <w:rPr>
          <w:rFonts w:hint="eastAsia" w:ascii="仿宋_GB2312" w:hAnsi="仿宋" w:eastAsia="仿宋_GB2312" w:cs="仿宋"/>
          <w:kern w:val="0"/>
          <w:sz w:val="32"/>
          <w:szCs w:val="32"/>
        </w:rPr>
        <w:t>：即公私合作模式，是一种公共基础设施项目融资模式，鼓励私营企业与政府进行合作，参与公共基础设施的建设。政府公共部门与民营部门合作过程中，让非公共部门所掌握的资源参与公共产品和服务，从而实现政府公共部门的职能并同时为民营部门带来利益。</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roman"/>
    <w:pitch w:val="default"/>
    <w:sig w:usb0="80000287" w:usb1="280F3C52" w:usb2="00000016" w:usb3="00000000" w:csb0="0004001F" w:csb1="00000000"/>
  </w:font>
  <w:font w:name="Verdana">
    <w:panose1 w:val="020B0604030504040204"/>
    <w:charset w:val="00"/>
    <w:family w:val="swiss"/>
    <w:pitch w:val="default"/>
    <w:sig w:usb0="00000287" w:usb1="00000000" w:usb2="00000000" w:usb3="00000000" w:csb0="2000019F" w:csb1="00000000"/>
  </w:font>
  <w:font w:name="Arial">
    <w:panose1 w:val="020B0604020202020204"/>
    <w:charset w:val="00"/>
    <w:family w:val="swiss"/>
    <w:pitch w:val="default"/>
    <w:sig w:usb0="00007A87" w:usb1="80000000" w:usb2="00000008" w:usb3="00000000" w:csb0="400001FF" w:csb1="FFFF0000"/>
  </w:font>
  <w:font w:name="方正大标宋简体">
    <w:altName w:val="微软雅黑"/>
    <w:panose1 w:val="02010601030101010101"/>
    <w:charset w:val="86"/>
    <w:family w:val="auto"/>
    <w:pitch w:val="default"/>
    <w:sig w:usb0="00000000" w:usb1="00000000" w:usb2="00000000" w:usb3="00000000" w:csb0="00040000" w:csb1="00000000"/>
  </w:font>
  <w:font w:name="文星标宋">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E2E19"/>
    <w:rsid w:val="4AEE2E19"/>
    <w:rsid w:val="4E73522C"/>
    <w:rsid w:val="503D6E6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jc w:val="left"/>
    </w:pPr>
    <w:rPr>
      <w:kern w:val="0"/>
      <w:sz w:val="24"/>
      <w:szCs w:val="20"/>
    </w:rPr>
  </w:style>
  <w:style w:type="character" w:styleId="6">
    <w:name w:val="Strong"/>
    <w:basedOn w:val="5"/>
    <w:qFormat/>
    <w:uiPriority w:val="0"/>
    <w:rPr>
      <w:b/>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9">
    <w:name w:val="font21"/>
    <w:basedOn w:val="5"/>
    <w:uiPriority w:val="0"/>
    <w:rPr>
      <w:rFonts w:hint="default" w:ascii="Times New Roman" w:hAnsi="Times New Roman" w:cs="Times New Roman"/>
      <w:b/>
      <w:color w:val="000000"/>
      <w:sz w:val="24"/>
      <w:szCs w:val="24"/>
    </w:rPr>
  </w:style>
  <w:style w:type="character" w:customStyle="1" w:styleId="10">
    <w:name w:val="font31"/>
    <w:basedOn w:val="5"/>
    <w:uiPriority w:val="0"/>
    <w:rPr>
      <w:rFonts w:hint="default" w:ascii="Times New Roman" w:hAnsi="Times New Roman" w:cs="Times New Roman"/>
      <w:color w:val="000000"/>
      <w:sz w:val="24"/>
      <w:szCs w:val="24"/>
    </w:rPr>
  </w:style>
  <w:style w:type="character" w:customStyle="1" w:styleId="11">
    <w:name w:val="font51"/>
    <w:basedOn w:val="5"/>
    <w:uiPriority w:val="0"/>
    <w:rPr>
      <w:rFonts w:ascii="仿宋_GB2312" w:eastAsia="仿宋_GB2312" w:cs="仿宋_GB2312"/>
      <w:color w:val="000000"/>
      <w:sz w:val="24"/>
      <w:szCs w:val="24"/>
    </w:rPr>
  </w:style>
  <w:style w:type="character" w:customStyle="1" w:styleId="12">
    <w:name w:val="font41"/>
    <w:basedOn w:val="5"/>
    <w:uiPriority w:val="0"/>
    <w:rPr>
      <w:rFonts w:hint="eastAsia" w:ascii="仿宋_GB2312" w:eastAsia="仿宋_GB2312" w:cs="仿宋_GB2312"/>
      <w:b/>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2016-09-15T09:33:00Z</dcterms:created>
  <dc:creator>Administrator</dc:creator>
  <cp:lastModifiedBy>Administrator</cp:lastModifiedBy>
  <dcterms:modified xsi:type="dcterms:W3CDTF">2016-09-18T03:23:11Z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