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snapToGrid w:val="0"/>
        <w:spacing w:before="0" w:beforeAutospacing="0" w:after="0" w:afterAutospacing="1"/>
        <w:ind w:left="0" w:right="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收入支出决算总体情况说明</w:t>
      </w:r>
    </w:p>
    <w:p>
      <w:pPr>
        <w:pStyle w:val="2"/>
        <w:keepNext w:val="0"/>
        <w:keepLines w:val="0"/>
        <w:widowControl/>
        <w:numPr>
          <w:numId w:val="0"/>
        </w:numPr>
        <w:suppressLineNumbers w:val="0"/>
        <w:snapToGrid w:val="0"/>
        <w:spacing w:before="0" w:beforeAutospacing="0" w:after="0" w:afterAutospacing="1"/>
        <w:ind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2021年度收、支总计均为89,143.86万元。与上年度 相比，收、支总计各增加25,077.38万元，增长39.14%。主要原因是羊山新区从功能区向行政区转变，承担市辖区任务量增大，各项支出增加。</w:t>
      </w:r>
    </w:p>
    <w:p>
      <w:pPr>
        <w:pStyle w:val="2"/>
        <w:keepNext w:val="0"/>
        <w:keepLines w:val="0"/>
        <w:widowControl/>
        <w:numPr>
          <w:numId w:val="0"/>
        </w:numPr>
        <w:suppressLineNumbers w:val="0"/>
        <w:snapToGrid w:val="0"/>
        <w:spacing w:before="0" w:beforeAutospacing="0" w:after="0" w:afterAutospacing="1"/>
        <w:ind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二、收入决算情况说明</w:t>
      </w:r>
    </w:p>
    <w:p>
      <w:pPr>
        <w:pStyle w:val="2"/>
        <w:keepNext w:val="0"/>
        <w:keepLines w:val="0"/>
        <w:widowControl/>
        <w:numPr>
          <w:numId w:val="0"/>
        </w:numPr>
        <w:suppressLineNumbers w:val="0"/>
        <w:snapToGrid w:val="0"/>
        <w:spacing w:before="0" w:beforeAutospacing="0" w:after="0" w:afterAutospacing="1"/>
        <w:ind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2021 年度收入合计89,113.12万元，其中：财政拨款收入 89,112.60万元，占 100.00%；上级补助 收入0.00万元，占0.00%；事业收入0.00万元，占 0.00%；经营收入0.00万元，占0.00%；附属单位上缴收入 0.00万元，占0.00%；其他收入0.53万元，占 0.00%。</w:t>
      </w:r>
    </w:p>
    <w:p>
      <w:pPr>
        <w:pStyle w:val="2"/>
        <w:keepNext w:val="0"/>
        <w:keepLines w:val="0"/>
        <w:widowControl/>
        <w:numPr>
          <w:numId w:val="0"/>
        </w:numPr>
        <w:suppressLineNumbers w:val="0"/>
        <w:snapToGrid w:val="0"/>
        <w:spacing w:before="0" w:beforeAutospacing="0" w:after="0" w:afterAutospacing="1"/>
        <w:ind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三、支出决算情况说明</w:t>
      </w:r>
    </w:p>
    <w:p>
      <w:pPr>
        <w:pStyle w:val="2"/>
        <w:keepNext w:val="0"/>
        <w:keepLines w:val="0"/>
        <w:widowControl/>
        <w:numPr>
          <w:numId w:val="0"/>
        </w:numPr>
        <w:suppressLineNumbers w:val="0"/>
        <w:snapToGrid w:val="0"/>
        <w:spacing w:before="0" w:beforeAutospacing="0" w:after="0" w:afterAutospacing="1"/>
        <w:ind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2021年度支出合计 89,113.60万元，其中：基本支出39,678.57 万元，占44.53%；项目支出 49,435.03万元，占55.47%；上缴上级支出0.00万元，占 0.00%；经营支出0.00万元，占0.00%；对附属单位补助支出 0.00万元，占0.00%。</w:t>
      </w:r>
    </w:p>
    <w:p>
      <w:pPr>
        <w:pStyle w:val="2"/>
        <w:keepNext w:val="0"/>
        <w:keepLines w:val="0"/>
        <w:widowControl/>
        <w:numPr>
          <w:numId w:val="0"/>
        </w:numPr>
        <w:suppressLineNumbers w:val="0"/>
        <w:snapToGrid w:val="0"/>
        <w:spacing w:before="0" w:beforeAutospacing="0" w:after="0" w:afterAutospacing="1"/>
        <w:ind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四、财政拨款收入支出决算总体情况说明</w:t>
      </w:r>
    </w:p>
    <w:p>
      <w:pPr>
        <w:pStyle w:val="2"/>
        <w:keepNext w:val="0"/>
        <w:keepLines w:val="0"/>
        <w:widowControl/>
        <w:numPr>
          <w:numId w:val="0"/>
        </w:numPr>
        <w:suppressLineNumbers w:val="0"/>
        <w:snapToGrid w:val="0"/>
        <w:spacing w:before="0" w:beforeAutospacing="0" w:after="0" w:afterAutospacing="1"/>
        <w:ind w:leftChars="0" w:right="0" w:rightChars="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2021年度财政拨款收、支总计均为 89,135.62万元。与上年度相比，财政拨款收、支总计各增加25,076.85万元，增长39.15%。主要原因是羊山新区随着经济发展，承担事务越来越多，辖区内承担市区基础设施建设、疫情防控等主要任务增多，收到财政拨款收入增多。</w:t>
      </w:r>
    </w:p>
    <w:p>
      <w:pPr>
        <w:pStyle w:val="2"/>
        <w:keepNext w:val="0"/>
        <w:keepLines w:val="0"/>
        <w:widowControl/>
        <w:numPr>
          <w:numId w:val="0"/>
        </w:numPr>
        <w:suppressLineNumbers w:val="0"/>
        <w:snapToGrid w:val="0"/>
        <w:spacing w:before="0" w:beforeAutospacing="0" w:after="0" w:afterAutospacing="1"/>
        <w:ind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五、一般公共预算财政拨款支出决算情况说明</w:t>
      </w:r>
    </w:p>
    <w:p>
      <w:pPr>
        <w:pStyle w:val="2"/>
        <w:keepNext w:val="0"/>
        <w:keepLines w:val="0"/>
        <w:widowControl/>
        <w:numPr>
          <w:numId w:val="0"/>
        </w:numPr>
        <w:suppressLineNumbers w:val="0"/>
        <w:snapToGrid w:val="0"/>
        <w:spacing w:before="0" w:beforeAutospacing="0" w:after="0" w:afterAutospacing="1"/>
        <w:ind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（一）总体情况。 2021年度一般公共预算财政拨款支出60,063.60万元，占支出合计的 67.40%。与上年度相比，一般公共预算财政拨款支出增加4,728.21万元，增长8.54%。主要原因是承担城区疫情防控与棚户区改造拆迁等政治任务导致费用增加。</w:t>
      </w:r>
    </w:p>
    <w:p>
      <w:pPr>
        <w:pStyle w:val="2"/>
        <w:keepNext w:val="0"/>
        <w:keepLines w:val="0"/>
        <w:widowControl/>
        <w:numPr>
          <w:numId w:val="0"/>
        </w:numPr>
        <w:suppressLineNumbers w:val="0"/>
        <w:snapToGrid w:val="0"/>
        <w:spacing w:before="0" w:beforeAutospacing="0" w:after="0" w:afterAutospacing="1"/>
        <w:ind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（二）结构情况。</w:t>
      </w:r>
    </w:p>
    <w:p>
      <w:pPr>
        <w:pStyle w:val="2"/>
        <w:keepNext w:val="0"/>
        <w:keepLines w:val="0"/>
        <w:widowControl/>
        <w:numPr>
          <w:numId w:val="0"/>
        </w:numPr>
        <w:suppressLineNumbers w:val="0"/>
        <w:snapToGrid w:val="0"/>
        <w:spacing w:before="0" w:beforeAutospacing="0" w:after="0" w:afterAutospacing="1"/>
        <w:ind w:leftChars="0" w:right="0" w:rightChars="0" w:firstLine="480" w:firstLineChars="200"/>
        <w:jc w:val="left"/>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2021年度一般公共预算财政拨款支出60,063.60万元，主要用于以下方面：一般公共服务（类）支出11894万元，占13%；公共安全支出1756万元，占2%；教育支出12516万元，占14%；科学技术支出1515万元，占2%；文化旅游体育与传媒支出73万元，占0%；社会保障和就业支出4882万元，占5%；卫生健康支出4506万元，占5%，节能环保支出960万元，占1%；城乡社区支出45350万元，占51%；农林水支出1634万元，占2%；交通运输支出295万元，占0%；自然资源海洋气象等支出291万元，占0%。住房保障支出2602万元，占3%；国有资本经营预算支出20万元，占0%；灾害防治及应急管理支出776万元，占1%；其他支出36万元你，占0%。</w:t>
      </w:r>
    </w:p>
    <w:p>
      <w:pPr>
        <w:pStyle w:val="2"/>
        <w:keepNext w:val="0"/>
        <w:keepLines w:val="0"/>
        <w:widowControl/>
        <w:numPr>
          <w:numId w:val="0"/>
        </w:numPr>
        <w:suppressLineNumbers w:val="0"/>
        <w:snapToGrid w:val="0"/>
        <w:spacing w:before="0" w:beforeAutospacing="0" w:after="0" w:afterAutospacing="1"/>
        <w:ind w:right="0" w:rightChars="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（三）具体情况。</w:t>
      </w:r>
    </w:p>
    <w:p>
      <w:pPr>
        <w:pStyle w:val="2"/>
        <w:keepNext w:val="0"/>
        <w:keepLines w:val="0"/>
        <w:widowControl/>
        <w:numPr>
          <w:numId w:val="0"/>
        </w:numPr>
        <w:suppressLineNumbers w:val="0"/>
        <w:snapToGrid w:val="0"/>
        <w:spacing w:before="0" w:beforeAutospacing="0" w:after="0" w:afterAutospacing="1"/>
        <w:ind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2021 年度一般公共预算财政拨款支出年初预算为60,063.60万元，支出决算为 60,063.60万元，完成年初预算的100.00%。其中：</w:t>
      </w:r>
    </w:p>
    <w:p>
      <w:pPr>
        <w:pStyle w:val="2"/>
        <w:keepNext w:val="0"/>
        <w:keepLines w:val="0"/>
        <w:widowControl/>
        <w:numPr>
          <w:numId w:val="0"/>
        </w:numPr>
        <w:suppressLineNumbers w:val="0"/>
        <w:snapToGrid w:val="0"/>
        <w:spacing w:before="0" w:beforeAutospacing="0" w:after="0" w:afterAutospacing="1"/>
        <w:ind w:leftChars="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1．20103（政府办公室及相关机构事务）。年初预算为8268万元，支出决算为8268万元，完成年初预算的100%。决算数与年初预算数无差异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2．20104（发展与改革事务）。年初预算为168万元，支出决算为168万元，完成年初预算的100%。决算数与年初预算数无差异。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3.20105（统计信息事务）年初预算为253万元，支出决算为253万元，完成年初预算的100%。决算数与年初预算数无差异。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4.20106（财政事务）年初预算为1048万元，支出决算为1048万元，完成年初预算的100%。决算数与年初预算数无差异。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5.20107（税收事务）年初预算为574万元，支出决算为574万元，完成年初预算的100%。决算数与年初预算数无差异。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6.20108（审计事务）年初预算为30万元，支出决算为30万元，完成年初预算的100%。决算数与年初预算数无差异。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7.20111（纪检监察事务）年初预算为133万元，支出决算为133万元，完成年初预算的100%。决算数与年初预算数无差异。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8.20113（商贸事务）年初预算为898万元，支出决算为898万元，完成年初预算的100%。决算数与年初预算数无差异。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9.20129（群众团体事务）年初预算为443万元，支出决算为443万元，完成年初预算的100%。决算数与年初预算数无差异。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10.20138（市场监督管理事务）年初预算为40万元，支出决算为40万元，完成年初预算的100%。决算数与年初预算数无差异。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11.20199（其他一般公共服务事务）年初预算为38万元，支出决算为38万元，完成年初预算的100%。决算数与年初预算数无差异。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12.20402（公共安全支出）年初预算为1239万元，支出决算为1239万元，完成年初预算的100%。决算数与年初预算数无差异。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13.20501（教育管理事务）年初预算为12516万元，支出决算为12516万元，完成年初预算的100%。决算数与年初预算数无差异</w:t>
      </w:r>
      <w:r>
        <w:rPr>
          <w:rFonts w:hint="eastAsia" w:cs="宋体"/>
          <w:kern w:val="0"/>
          <w:sz w:val="24"/>
          <w:szCs w:val="24"/>
          <w:shd w:val="clear" w:fill="FFFFFF"/>
          <w:lang w:val="en-US" w:eastAsia="zh-CN" w:bidi="ar"/>
        </w:rPr>
        <w:t>。</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六、一般公共预算财政拨款基本支出决算情况说明</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2021 年度一般公共预算财政拨款基本支出39,678.57万元。其中：人员经费 23,224.26万元，主要包括：基本工资、津贴</w:t>
      </w:r>
      <w:bookmarkStart w:id="0" w:name="_GoBack"/>
      <w:bookmarkEnd w:id="0"/>
      <w:r>
        <w:rPr>
          <w:rFonts w:hint="eastAsia" w:ascii="宋体" w:hAnsi="宋体" w:eastAsia="宋体" w:cs="宋体"/>
          <w:kern w:val="0"/>
          <w:sz w:val="24"/>
          <w:szCs w:val="24"/>
          <w:shd w:val="clear" w:fill="FFFFFF"/>
          <w:lang w:val="en-US" w:eastAsia="zh-CN" w:bidi="ar"/>
        </w:rPr>
        <w:t>补贴、伙食补助费、绩效工资、机关事业单位基本养老保险缴 费、职业年金缴费、其他社会保障缴费、其他工资福利支出、离休费、退休费、抚恤金、生活补助、医疗费、奖励金、住房公积金、采暖补贴、物业服务补贴、其他 对个人和家庭的补助支出……；公用经费16,441.92万元，主要包括：办公费、印刷费、咨询费、手续费、水 费、电费、邮电费、取暖费、物业管理费、差旅费、因公出国（境）费用、维修（护）费、租赁费、会议费、培训费、公务接待费、专用材料费、劳务费、委托业务 费、工会经费、福利费、公务用车运行维护费、其他交通费用、税金及附加费用、其他商品和服务支出、办公设备购置、专用设备购置、信息网络及软件购置更新、 其他资本性支出。</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七、一般公共预算财政拨款“三公”经费支出决算情况说明</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（一）“三公”经费财政拨款支出决算总体情况说明。</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2021 年度“三公”经费财政拨款支出预算为317.19万元，支出决算为 317.19万元，完成预算的100.00%。2021年度“三公”经费支出决算数与预算数无差异。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（二）“三公”经费财政拨款支出决算具体情况说明。</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2021 年度“三公”经费财政拨款支出决算中，因公出国（境）费支出决算0.00万元，完成预算的 0.00%，占0.00%；公务用车购置及运行费支出决算253.93万元， 完成预算的100.00%，占 80.06%；公务接待费支出决算 63.26万元，完成预算的100.00%，占19.94%；具体情 况如下：</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1．因公出国（境）费年初预算为0.00万元，支出决算为 0.00万元，完成年初预算的0.00%，决算数与年初预算数无差异的主要原因。</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2． 公务用车购置及运行费年初预算为253.93万元，支出决算为 253.93万元，完成年初预算的100.00%，决算数与年初预算数无差异。其中：</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公务用车购置支出17.15万元，购置车辆1台。</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公务用车运行支出236.78万元。主要用于车辆燃油费，公务车辆维修费，保险费。2021年期末，单位开支财政拨款的公务用车保有量为64量。</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3. 公务接待费年初预算为63.26万元，支出决算为63.26万元，完成年初预算的100.00%。决算数与年初预算数无差异。</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八、政府性基金预算财政拨款支出决算情况说明</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2021 年度政府性基金预算财政拨款支出年初预算为29,030.00万元，支出决算为 29,030.00万元，完成年初预算的100.00%。主要用于大中型水库移民后期扶持基金支出98万元，城乡社区支出28896万元，国有土地使用权出让收入安排支出105万元，征地和拆迁补偿支出28791万元，其他支出36万元。</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九、机关运行经费支出情况说明</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我单位不是行政机关，也不是参照公务员管理事业单位，没有机关运行经费支出。</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十、政府采购支出情况说明</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2021 年度政府采购支出总额2,149.40万元，其中：政府采购货物支出 0.00万元、政府采购工程支出2,149.40万元、政府采购服务支出0.00万元。授予中小企业合同金额 0.00万元，占政府采购支出总额的0.00%,其中：授予小微企业合同金额0.00万元，占政府 采购支出总额的0.00%。</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十一、国有资产占用情况说明</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2021 年期末，我单位共有车辆64辆，其中：省级领导干部用车0辆、主要领导干部用车 0辆、机要通信用车3辆、应急保障车0辆、执法执勤用车 8辆、特种专业技术用车0辆、离退休干部用车0辆、其他用 车53辆；单位价值50万元以上通用设备0台（套），单位价值100万元以上专用设备 0台（套）。</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十二、预算绩效情况说明</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（一）绩效管理工作开展情况。</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羊山新区管理委员会2021年度暂未开展预算绩效管理工作。</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（二）项目绩效自评结果。</w:t>
      </w:r>
    </w:p>
    <w:p>
      <w:pPr>
        <w:pStyle w:val="2"/>
        <w:keepNext w:val="0"/>
        <w:keepLines w:val="0"/>
        <w:widowControl/>
        <w:suppressLineNumbers w:val="0"/>
        <w:snapToGrid w:val="0"/>
        <w:spacing w:before="0" w:beforeAutospacing="0" w:after="0" w:afterAutospacing="1"/>
        <w:ind w:left="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shd w:val="clear" w:fill="FFFFFF"/>
          <w:lang w:val="en-US" w:eastAsia="zh-CN" w:bidi="ar"/>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7E617"/>
    <w:multiLevelType w:val="multilevel"/>
    <w:tmpl w:val="C567E617"/>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jA4NmNjOTYwOWI5NDNiOTY1NDQ3M2RjMWM5NjkifQ=="/>
  </w:docVars>
  <w:rsids>
    <w:rsidRoot w:val="00000000"/>
    <w:rsid w:val="2E122F47"/>
    <w:rsid w:val="435272F0"/>
    <w:rsid w:val="46494A25"/>
    <w:rsid w:val="4E393586"/>
    <w:rsid w:val="5FFD1FE3"/>
    <w:rsid w:val="65AB4911"/>
    <w:rsid w:val="78C0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default" w:ascii="宋体" w:hAnsi="宋体" w:eastAsia="宋体" w:cs="宋体"/>
      <w:kern w:val="0"/>
      <w:sz w:val="24"/>
      <w:lang w:val="en-US" w:eastAsia="zh-CN" w:bidi="ar"/>
    </w:rPr>
  </w:style>
  <w:style w:type="character" w:customStyle="1" w:styleId="5">
    <w:name w:val="10"/>
    <w:basedOn w:val="4"/>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2827</Words>
  <Characters>3523</Characters>
  <Lines>0</Lines>
  <Paragraphs>0</Paragraphs>
  <TotalTime>8</TotalTime>
  <ScaleCrop>false</ScaleCrop>
  <LinksUpToDate>false</LinksUpToDate>
  <CharactersWithSpaces>3579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2023-09-19T09:11:00Z</dcterms:created>
  <dc:creator>hp</dc:creator>
  <cp:lastModifiedBy>hp</cp:lastModifiedBy>
  <cp:lastPrinted>2023-09-21T02:33:28Z</cp:lastPrinted>
  <dcterms:modified xsi:type="dcterms:W3CDTF">2023-09-21T02:35:13Z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6FB47CB6FEB544CCB3C86BDF51E9A0C4_12</vt:lpwstr>
  </property>
</Properties>
</file>