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ascii="黑体" w:hAnsi="华文中宋" w:eastAsia="黑体" w:cs="??_GB320"/>
          <w:b/>
          <w:bCs/>
          <w:sz w:val="44"/>
          <w:szCs w:val="44"/>
        </w:rPr>
      </w:pPr>
      <w:r>
        <w:rPr>
          <w:rFonts w:hint="eastAsia" w:ascii="黑体" w:hAnsi="华文中宋" w:eastAsia="黑体" w:cs="华文中宋"/>
          <w:b/>
          <w:bCs/>
          <w:sz w:val="44"/>
          <w:szCs w:val="44"/>
        </w:rPr>
        <w:t>信阳市羊山新区</w:t>
      </w:r>
      <w:r>
        <w:rPr>
          <w:rFonts w:ascii="黑体" w:hAnsi="华文中宋" w:eastAsia="黑体" w:cs="华文中宋"/>
          <w:b/>
          <w:bCs/>
          <w:sz w:val="44"/>
          <w:szCs w:val="44"/>
        </w:rPr>
        <w:t>20</w:t>
      </w:r>
      <w:r>
        <w:rPr>
          <w:rFonts w:hint="eastAsia" w:ascii="黑体" w:hAnsi="华文中宋" w:eastAsia="黑体" w:cs="华文中宋"/>
          <w:b/>
          <w:bCs/>
          <w:sz w:val="44"/>
          <w:szCs w:val="44"/>
        </w:rPr>
        <w:t>2</w:t>
      </w:r>
      <w:r>
        <w:rPr>
          <w:rFonts w:hint="eastAsia" w:ascii="黑体" w:hAnsi="华文中宋" w:eastAsia="黑体" w:cs="华文中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华文中宋" w:eastAsia="黑体" w:cs="华文中宋"/>
          <w:b/>
          <w:bCs/>
          <w:sz w:val="44"/>
          <w:szCs w:val="44"/>
        </w:rPr>
        <w:t>年部门</w:t>
      </w:r>
      <w:r>
        <w:rPr>
          <w:rFonts w:hint="eastAsia" w:ascii="黑体" w:hAnsi="华文中宋" w:eastAsia="黑体" w:cs="??_GB320"/>
          <w:b/>
          <w:bCs/>
          <w:sz w:val="44"/>
          <w:szCs w:val="44"/>
        </w:rPr>
        <w:t>预算说明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一、羊山新区基本情况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（一）工作职责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内设机构</w:t>
      </w:r>
    </w:p>
    <w:p>
      <w:pPr>
        <w:spacing w:line="600" w:lineRule="exact"/>
        <w:rPr>
          <w:rFonts w:ascii="仿宋_GB2312" w:hAnsi="??_GB320" w:eastAsia="仿宋_GB2312" w:cs="??_GB320"/>
          <w:b/>
          <w:sz w:val="32"/>
          <w:szCs w:val="32"/>
        </w:rPr>
      </w:pPr>
      <w:r>
        <w:rPr>
          <w:rFonts w:hint="eastAsia" w:ascii="仿宋_GB2312" w:hAnsi="??_GB320" w:eastAsia="仿宋_GB2312" w:cs="??_GB320"/>
          <w:b/>
          <w:bCs/>
          <w:sz w:val="32"/>
          <w:szCs w:val="32"/>
        </w:rPr>
        <w:t>二</w:t>
      </w:r>
      <w:r>
        <w:rPr>
          <w:rFonts w:hint="eastAsia" w:ascii="仿宋_GB2312" w:hAnsi="??_GB320" w:eastAsia="仿宋_GB2312" w:cs="??_GB320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年度部门预算情况说明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三、名词解释（注：根据本单位预算说明结合实际工作，作出专业名词的说明解释。）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附件：羊山新区</w:t>
      </w: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年度部门预算表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一、单位收支总体情况表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二、单位收入总体情况表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三、单位支出总体情况表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四、财政拨款收支总体情况表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五、一般公共预算支出情况表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六、单位基本支出预算表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七、一般公共预算“三公”经费支出情况表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八、政府性基金支出情况表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九、项目支出表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羊山新区基本情况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（一）工作职责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、负责党的路线、方针、政策和市委、市政府重大决策在新区的贯彻落实；负责新区机关及所属单位党组织建设、思想建设、作风建设及廉政建设等工作。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、负责编制新区的经济、社会发展规划，经市政府批准后实施；负责制定新区的行政管理规定并组织实施。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、负责制定用地、融资、财税、招商引资、人才引进等优惠政策、激活新区开发建设机制。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、在信阳市城市总体规划框架内，参与分区规划和详细规划编制的组织和实施工作，享有规划、建设、环保、房管和城市管理行政执法权。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、负责新区内土地的规划、征用、开发和管理，享有土地监察执法权；负责制定已征土地供地方案、与企业签订土地出让合同、核发土地权证等。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、负责区域内房产工作的行政管理和行业管理。负责区域内房产证的审核、发放；负责办理区域内房地产开发企业资质、物业管理企业资质、房地产广告的审批。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、负责新区内各项基础设施和公共设施的统一规划、建设与管理。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、负责管理新区内机构编制、劳动人事、社会保障、民政事务、计划生育、科教文卫、工青妇工作、精神文明建设和基层政权建设。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、市委、市政府赋予的其他职权。</w:t>
      </w:r>
    </w:p>
    <w:p>
      <w:pPr>
        <w:ind w:firstLine="630" w:firstLineChars="196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（二）内设机构</w:t>
      </w:r>
    </w:p>
    <w:p>
      <w:pPr>
        <w:ind w:firstLine="627" w:firstLineChars="19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羊山新区管理委员会为市政府的派出机构，机构规格为正处级，负责对新区管辖区域内的经济、科技文化、社会事务、开发建设、招商融资等行使统一管理职能，下辖羊山、前进、南京路、龙飞山四个办事处及北湖管理区、家居产业小镇社管办。现有学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4所，</w:t>
      </w:r>
      <w:r>
        <w:rPr>
          <w:rFonts w:hint="eastAsia" w:ascii="仿宋_GB2312" w:eastAsia="仿宋_GB2312"/>
          <w:sz w:val="32"/>
          <w:szCs w:val="32"/>
        </w:rPr>
        <w:t>其中初级中学1所，小学12所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，幼儿园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所。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??_GB320" w:eastAsia="仿宋_GB2312" w:cs="??_GB320"/>
          <w:b/>
          <w:bCs/>
          <w:sz w:val="32"/>
          <w:szCs w:val="32"/>
        </w:rPr>
        <w:t>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b/>
          <w:sz w:val="32"/>
          <w:szCs w:val="32"/>
        </w:rPr>
        <w:t>度部门预算情况说明</w:t>
      </w:r>
    </w:p>
    <w:p>
      <w:pPr>
        <w:ind w:firstLine="624" w:firstLineChars="195"/>
        <w:rPr>
          <w:rFonts w:ascii="仿宋_GB2312" w:hAnsi="新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一）部门收入支出预算总体情况说明</w:t>
      </w:r>
    </w:p>
    <w:p>
      <w:pPr>
        <w:ind w:firstLine="640" w:firstLineChars="200"/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羊山新区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hAnsi="新宋体" w:eastAsia="仿宋_GB2312"/>
          <w:sz w:val="32"/>
          <w:szCs w:val="32"/>
        </w:rPr>
        <w:t>收入总计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96169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</w:rPr>
        <w:t>支出总计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96169万元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新宋体" w:eastAsia="仿宋_GB2312"/>
          <w:bCs/>
          <w:sz w:val="32"/>
          <w:szCs w:val="32"/>
        </w:rPr>
        <w:t>与</w:t>
      </w:r>
      <w:r>
        <w:rPr>
          <w:rFonts w:ascii="仿宋_GB2312" w:hAnsi="新宋体" w:eastAsia="仿宋_GB2312"/>
          <w:bCs/>
          <w:sz w:val="32"/>
          <w:szCs w:val="32"/>
        </w:rPr>
        <w:t>20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新宋体" w:eastAsia="仿宋_GB2312"/>
          <w:bCs/>
          <w:sz w:val="32"/>
          <w:szCs w:val="32"/>
        </w:rPr>
        <w:t>年相比收支总计各增加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30089</w:t>
      </w:r>
      <w:r>
        <w:rPr>
          <w:rFonts w:hint="eastAsia" w:ascii="仿宋_GB2312" w:hAnsi="新宋体" w:eastAsia="仿宋_GB2312"/>
          <w:bCs/>
          <w:sz w:val="32"/>
          <w:szCs w:val="32"/>
        </w:rPr>
        <w:t>万元。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（二）部门收入预算说明</w:t>
      </w:r>
    </w:p>
    <w:p>
      <w:pPr>
        <w:ind w:firstLine="640" w:firstLineChars="200"/>
        <w:rPr>
          <w:rFonts w:ascii="黑体" w:hAnsi="宋体" w:eastAsia="黑体" w:cs="宋体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羊山新区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部门收入预算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96169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，其中：一般公共预算收入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96169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,其他收入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（三）部门支出预算总体情况说明</w:t>
      </w:r>
    </w:p>
    <w:p>
      <w:pPr>
        <w:ind w:firstLine="640" w:firstLineChars="200"/>
        <w:rPr>
          <w:rFonts w:ascii="黑体" w:hAnsi="宋体" w:eastAsia="黑体" w:cs="宋体"/>
          <w:color w:val="000000"/>
          <w:sz w:val="22"/>
          <w:szCs w:val="2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一般公共预算支出预算为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96169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基本支出预算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26199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；项目支出预算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69970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万元,占</w:t>
      </w:r>
      <w:r>
        <w:rPr>
          <w:rFonts w:hint="eastAsia" w:ascii="仿宋_GB2312" w:eastAsia="仿宋_GB2312"/>
          <w:sz w:val="32"/>
          <w:szCs w:val="32"/>
        </w:rPr>
        <w:t>预算的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73</w:t>
      </w: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（四）财政拨款收入支出预算总体情况说明</w:t>
      </w:r>
    </w:p>
    <w:p>
      <w:pPr>
        <w:ind w:firstLine="640" w:firstLineChars="200"/>
        <w:rPr>
          <w:rFonts w:ascii="黑体" w:hAnsi="宋体" w:eastAsia="黑体" w:cs="宋体"/>
          <w:color w:val="000000"/>
          <w:kern w:val="0"/>
          <w:sz w:val="22"/>
          <w:szCs w:val="22"/>
        </w:rPr>
      </w:pPr>
      <w:r>
        <w:rPr>
          <w:rFonts w:hint="eastAsia" w:ascii="仿宋_GB2312" w:eastAsia="仿宋_GB2312"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财政拨款收支预算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96169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新宋体" w:eastAsia="仿宋_GB2312"/>
          <w:bCs/>
          <w:sz w:val="32"/>
          <w:szCs w:val="32"/>
        </w:rPr>
        <w:t>与</w:t>
      </w:r>
      <w:r>
        <w:rPr>
          <w:rFonts w:ascii="仿宋_GB2312" w:hAnsi="新宋体" w:eastAsia="仿宋_GB2312"/>
          <w:bCs/>
          <w:sz w:val="32"/>
          <w:szCs w:val="32"/>
        </w:rPr>
        <w:t>20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新宋体" w:eastAsia="仿宋_GB2312"/>
          <w:bCs/>
          <w:sz w:val="32"/>
          <w:szCs w:val="32"/>
        </w:rPr>
        <w:t>年相比收支总计各增加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30089</w:t>
      </w:r>
      <w:r>
        <w:rPr>
          <w:rFonts w:hint="eastAsia" w:ascii="仿宋_GB2312" w:hAnsi="新宋体" w:eastAsia="仿宋_GB2312"/>
          <w:bCs/>
          <w:sz w:val="32"/>
          <w:szCs w:val="32"/>
        </w:rPr>
        <w:t>万元。</w:t>
      </w:r>
    </w:p>
    <w:p>
      <w:pPr>
        <w:ind w:firstLine="624" w:firstLineChars="1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（五）一般公共预算支出情况说明</w:t>
      </w:r>
    </w:p>
    <w:p>
      <w:pPr>
        <w:ind w:firstLine="64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支出预算</w:t>
      </w:r>
      <w:r>
        <w:rPr>
          <w:rFonts w:hint="eastAsia" w:ascii="仿宋_GB2312" w:hAnsi="新宋体" w:eastAsia="仿宋_GB2312"/>
          <w:bCs/>
          <w:sz w:val="32"/>
          <w:szCs w:val="32"/>
          <w:lang w:val="en-US" w:eastAsia="zh-CN"/>
        </w:rPr>
        <w:t>30089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新宋体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其中基本支出预算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26199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万元，按支出经济分类为工资福利支出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22860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元，对个人和家庭补助支出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482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元，商品和服务支出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2857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；项目支出预算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69970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主要安排教育、社保、医疗卫生、农林水、住房保障、市政道路养护、创建国家文明城市、创建国家卫生城市、环境污染治理等方面支出。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（六）一般公共预算基本支出情况说明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羊山新区</w:t>
      </w: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一般公共预算基本支出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26199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，其中人员经费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23342</w:t>
      </w:r>
      <w:r>
        <w:rPr>
          <w:rFonts w:hint="eastAsia" w:ascii="仿宋_GB2312" w:eastAsia="仿宋_GB2312"/>
          <w:color w:val="00000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，主要包括：基本工资、津贴补贴、奖金、社会保障缴费、绩效工资、离休费、退休费、遗属补助、住房公积金、落实各项政策增资等；公用经费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2857</w:t>
      </w:r>
      <w:r>
        <w:rPr>
          <w:rFonts w:hint="eastAsia" w:ascii="仿宋_GB2312" w:eastAsia="仿宋_GB2312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专用材料费、劳务费、福利费、公务用车运行维护费、其他交通费用等。</w:t>
      </w:r>
    </w:p>
    <w:p>
      <w:pPr>
        <w:ind w:firstLine="640" w:firstLineChars="200"/>
        <w:rPr>
          <w:rFonts w:ascii="仿宋_GB2312" w:hAnsi="??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hint="eastAsia" w:ascii="仿宋_GB2312" w:hAnsi="??" w:eastAsia="仿宋_GB2312" w:cs="宋体"/>
          <w:sz w:val="32"/>
          <w:szCs w:val="32"/>
        </w:rPr>
        <w:t>“三公”经费支出预算情况说明</w:t>
      </w:r>
    </w:p>
    <w:p>
      <w:pPr>
        <w:spacing w:line="560" w:lineRule="exact"/>
        <w:ind w:firstLine="640" w:firstLineChars="200"/>
        <w:rPr>
          <w:rFonts w:ascii="仿宋_GB2312" w:hAnsi="??" w:eastAsia="仿宋_GB2312" w:cs="宋体"/>
          <w:sz w:val="32"/>
          <w:szCs w:val="32"/>
        </w:rPr>
      </w:pPr>
      <w:r>
        <w:rPr>
          <w:rFonts w:ascii="仿宋_GB2312" w:hAnsi="??" w:eastAsia="仿宋_GB2312" w:cs="宋体"/>
          <w:sz w:val="32"/>
          <w:szCs w:val="32"/>
        </w:rPr>
        <w:t>1</w:t>
      </w:r>
      <w:r>
        <w:rPr>
          <w:rFonts w:hint="eastAsia" w:ascii="仿宋_GB2312" w:hAnsi="??" w:eastAsia="仿宋_GB2312" w:cs="宋体"/>
          <w:sz w:val="32"/>
          <w:szCs w:val="32"/>
        </w:rPr>
        <w:t>、因公出国（境）费用：根据因公出国计划和实际工作需要，主要用于单位人员的公务出国（境）的住宿费、国际旅费、培训费、公杂费等支出。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2022年</w:t>
      </w:r>
      <w:r>
        <w:rPr>
          <w:rFonts w:hint="eastAsia" w:ascii="仿宋_GB2312" w:hAnsi="??" w:eastAsia="仿宋_GB2312" w:cs="宋体"/>
          <w:sz w:val="32"/>
          <w:szCs w:val="32"/>
        </w:rPr>
        <w:t>安排因公出国（境）费用预算</w:t>
      </w:r>
      <w:r>
        <w:rPr>
          <w:rFonts w:ascii="仿宋_GB2312" w:hAnsi="??" w:eastAsia="仿宋_GB2312" w:cs="宋体"/>
          <w:sz w:val="32"/>
          <w:szCs w:val="32"/>
        </w:rPr>
        <w:t>0</w:t>
      </w: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万</w:t>
      </w:r>
      <w:r>
        <w:rPr>
          <w:rFonts w:hint="eastAsia" w:ascii="仿宋_GB2312" w:hAnsi="??" w:eastAsia="仿宋_GB2312" w:cs="宋体"/>
          <w:sz w:val="32"/>
          <w:szCs w:val="32"/>
        </w:rPr>
        <w:t>元，与上年执行数相同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??" w:eastAsia="仿宋_GB2312" w:cs="宋体"/>
          <w:sz w:val="32"/>
          <w:szCs w:val="32"/>
        </w:rPr>
        <w:t>无变化的主要原因是羊山新区无因公出国（境）安排。</w:t>
      </w:r>
    </w:p>
    <w:p>
      <w:pPr>
        <w:spacing w:line="560" w:lineRule="exact"/>
        <w:ind w:firstLine="640" w:firstLineChars="200"/>
        <w:rPr>
          <w:rFonts w:ascii="仿宋_GB2312" w:hAnsi="??" w:eastAsia="仿宋_GB2312" w:cs="宋体"/>
          <w:sz w:val="32"/>
          <w:szCs w:val="32"/>
        </w:rPr>
      </w:pPr>
      <w:r>
        <w:rPr>
          <w:rFonts w:ascii="仿宋_GB2312" w:hAnsi="??" w:eastAsia="仿宋_GB2312" w:cs="宋体"/>
          <w:sz w:val="32"/>
          <w:szCs w:val="32"/>
        </w:rPr>
        <w:t>2</w:t>
      </w:r>
      <w:r>
        <w:rPr>
          <w:rFonts w:hint="eastAsia" w:ascii="仿宋_GB2312" w:hAnsi="??" w:eastAsia="仿宋_GB2312" w:cs="宋体"/>
          <w:sz w:val="32"/>
          <w:szCs w:val="32"/>
        </w:rPr>
        <w:t>、公务接待费：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2022年</w:t>
      </w:r>
      <w:r>
        <w:rPr>
          <w:rFonts w:hint="eastAsia" w:ascii="仿宋_GB2312" w:hAnsi="??" w:eastAsia="仿宋_GB2312" w:cs="宋体"/>
          <w:sz w:val="32"/>
          <w:szCs w:val="32"/>
        </w:rPr>
        <w:t>安排公务接待费预算</w:t>
      </w: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158万</w:t>
      </w:r>
      <w:r>
        <w:rPr>
          <w:rFonts w:hint="eastAsia" w:ascii="仿宋_GB2312" w:hAnsi="??" w:eastAsia="仿宋_GB2312" w:cs="宋体"/>
          <w:sz w:val="32"/>
          <w:szCs w:val="32"/>
        </w:rPr>
        <w:t>元，主要用于按规定开支的各类公务接待支出。</w:t>
      </w:r>
    </w:p>
    <w:p>
      <w:pPr>
        <w:ind w:firstLine="627" w:firstLineChars="196"/>
        <w:jc w:val="left"/>
        <w:rPr>
          <w:rFonts w:ascii="仿宋_GB2312" w:hAnsi="??" w:eastAsia="仿宋_GB2312" w:cs="宋体"/>
          <w:sz w:val="32"/>
          <w:szCs w:val="32"/>
        </w:rPr>
      </w:pPr>
      <w:r>
        <w:rPr>
          <w:rFonts w:ascii="仿宋_GB2312" w:hAnsi="??" w:eastAsia="仿宋_GB2312" w:cs="宋体"/>
          <w:sz w:val="32"/>
          <w:szCs w:val="32"/>
        </w:rPr>
        <w:t>3</w:t>
      </w:r>
      <w:r>
        <w:rPr>
          <w:rFonts w:hint="eastAsia" w:ascii="仿宋_GB2312" w:hAnsi="??" w:eastAsia="仿宋_GB2312" w:cs="宋体"/>
          <w:sz w:val="32"/>
          <w:szCs w:val="32"/>
        </w:rPr>
        <w:t>、公务用车购置及运行维护费：</w:t>
      </w:r>
      <w:r>
        <w:rPr>
          <w:rFonts w:hint="eastAsia" w:ascii="仿宋_GB2312" w:hAnsi="??" w:eastAsia="仿宋_GB2312" w:cs="宋体"/>
          <w:sz w:val="32"/>
          <w:szCs w:val="32"/>
          <w:lang w:eastAsia="zh-CN"/>
        </w:rPr>
        <w:t>2022年</w:t>
      </w:r>
      <w:r>
        <w:rPr>
          <w:rFonts w:hint="eastAsia" w:ascii="仿宋_GB2312" w:hAnsi="??" w:eastAsia="仿宋_GB2312" w:cs="宋体"/>
          <w:sz w:val="32"/>
          <w:szCs w:val="32"/>
        </w:rPr>
        <w:t>安排公务用车购置费预算0元,安排公务用车运行维护费预算</w:t>
      </w: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245万</w:t>
      </w:r>
      <w:r>
        <w:rPr>
          <w:rFonts w:hint="eastAsia" w:ascii="仿宋_GB2312" w:hAnsi="??" w:eastAsia="仿宋_GB2312" w:cs="宋体"/>
          <w:sz w:val="32"/>
          <w:szCs w:val="32"/>
        </w:rPr>
        <w:t>元，主要用于所需的公务用车租用费、燃料费、维修费、保险费等支出。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（八）政府性基金预算情况说明</w:t>
      </w:r>
    </w:p>
    <w:p>
      <w:pPr>
        <w:ind w:firstLine="627" w:firstLineChars="196"/>
        <w:jc w:val="left"/>
        <w:rPr>
          <w:rFonts w:hint="eastAsia" w:ascii="仿宋_GB2312" w:hAnsi="??" w:eastAsia="仿宋_GB2312" w:cs="宋体"/>
          <w:sz w:val="32"/>
          <w:szCs w:val="32"/>
        </w:rPr>
      </w:pPr>
      <w:r>
        <w:rPr>
          <w:rFonts w:hint="eastAsia" w:ascii="仿宋_GB2312" w:hAnsi="??" w:eastAsia="仿宋_GB2312" w:cs="宋体"/>
          <w:sz w:val="32"/>
          <w:szCs w:val="32"/>
          <w:lang w:val="en-US" w:eastAsia="zh-CN"/>
        </w:rPr>
        <w:t>2022年无使用政府性基金预算拨款安排的支出。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三、名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词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解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释</w:t>
      </w:r>
    </w:p>
    <w:p>
      <w:pPr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 xml:space="preserve">    1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款收入：是指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当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付的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金。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2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收入：是指事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开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展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专业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及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辅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助活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所取得的收入。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3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、其他收入：是指部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取得的除“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款”、“事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收入”、“事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经营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收入”等以外的收入。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4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、基本支出：是指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为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保障机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正常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运转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、完成日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常工作任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所必需的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开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支，其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内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容包括人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员经费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和日常公用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经费两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部分。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5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目支出：是指在基本支出之外，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为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完成特定的行政工作任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或事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业发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展目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标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所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发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生的支出。</w:t>
      </w:r>
    </w:p>
    <w:p>
      <w:pPr>
        <w:ind w:firstLine="630" w:firstLineChars="196"/>
        <w:rPr>
          <w:rFonts w:ascii="仿宋_GB2312" w:hAnsi="华文中宋" w:eastAsia="仿宋_GB2312" w:cs="华文中宋"/>
          <w:b/>
          <w:bCs/>
          <w:sz w:val="32"/>
          <w:szCs w:val="32"/>
        </w:rPr>
      </w:pPr>
      <w:r>
        <w:rPr>
          <w:rFonts w:ascii="仿宋_GB2312" w:hAnsi="华文中宋" w:eastAsia="仿宋_GB2312" w:cs="华文中宋"/>
          <w:b/>
          <w:bCs/>
          <w:sz w:val="32"/>
          <w:szCs w:val="32"/>
        </w:rPr>
        <w:t>6</w:t>
      </w:r>
      <w:r>
        <w:rPr>
          <w:rFonts w:hint="eastAsia" w:ascii="仿宋_GB2312" w:hAnsi="华文中宋" w:eastAsia="仿宋_GB2312" w:cs="华文中宋"/>
          <w:b/>
          <w:bCs/>
          <w:sz w:val="32"/>
          <w:szCs w:val="32"/>
        </w:rPr>
        <w:t>、“三公”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经费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：是指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纳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入省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级财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算管理，部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使用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财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拨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款安排的因公出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国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（境）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车购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置及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和公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。其中，因公出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国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（境）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出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国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（境）的住宿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伙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食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助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杂费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、培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训费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等支出；公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车购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置及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行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车购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及租用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、燃料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维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修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过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路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过桥费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、保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险费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等支出；公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务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费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单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位按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规</w:t>
      </w:r>
      <w:r>
        <w:rPr>
          <w:rFonts w:hint="eastAsia" w:ascii="仿宋_GB2312" w:hAnsi="Batang" w:eastAsia="仿宋_GB2312" w:cs="Batang"/>
          <w:b/>
          <w:bCs/>
          <w:sz w:val="32"/>
          <w:szCs w:val="32"/>
        </w:rPr>
        <w:t>定支出。</w:t>
      </w:r>
    </w:p>
    <w:p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3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WI2YzdmMmMyMTZlMGQxYmI0Yzk4N2Q3N2MyZmIifQ=="/>
  </w:docVars>
  <w:rsids>
    <w:rsidRoot w:val="075F3522"/>
    <w:rsid w:val="00026105"/>
    <w:rsid w:val="000438EC"/>
    <w:rsid w:val="000511F9"/>
    <w:rsid w:val="000576F3"/>
    <w:rsid w:val="00057A1D"/>
    <w:rsid w:val="00062688"/>
    <w:rsid w:val="0007679E"/>
    <w:rsid w:val="000848BB"/>
    <w:rsid w:val="000A2045"/>
    <w:rsid w:val="000A5C98"/>
    <w:rsid w:val="000D40D1"/>
    <w:rsid w:val="000D709D"/>
    <w:rsid w:val="000E3DCD"/>
    <w:rsid w:val="001016BC"/>
    <w:rsid w:val="00114FF5"/>
    <w:rsid w:val="0012452C"/>
    <w:rsid w:val="00134CA0"/>
    <w:rsid w:val="0014045E"/>
    <w:rsid w:val="00145DAE"/>
    <w:rsid w:val="00147DFA"/>
    <w:rsid w:val="001509A7"/>
    <w:rsid w:val="00157FE0"/>
    <w:rsid w:val="00170909"/>
    <w:rsid w:val="00170CB8"/>
    <w:rsid w:val="00170E53"/>
    <w:rsid w:val="00171333"/>
    <w:rsid w:val="0017687F"/>
    <w:rsid w:val="00183AA3"/>
    <w:rsid w:val="001B666E"/>
    <w:rsid w:val="001D08BB"/>
    <w:rsid w:val="001D5890"/>
    <w:rsid w:val="001E6EF0"/>
    <w:rsid w:val="001E7CA4"/>
    <w:rsid w:val="001F30CB"/>
    <w:rsid w:val="001F523F"/>
    <w:rsid w:val="0020193B"/>
    <w:rsid w:val="00203771"/>
    <w:rsid w:val="00207F37"/>
    <w:rsid w:val="002233B1"/>
    <w:rsid w:val="002261E3"/>
    <w:rsid w:val="00251712"/>
    <w:rsid w:val="002701C6"/>
    <w:rsid w:val="002769E6"/>
    <w:rsid w:val="00291DEF"/>
    <w:rsid w:val="00297569"/>
    <w:rsid w:val="002A0413"/>
    <w:rsid w:val="002A6141"/>
    <w:rsid w:val="002A6C27"/>
    <w:rsid w:val="002B0955"/>
    <w:rsid w:val="002B25DB"/>
    <w:rsid w:val="002B7C26"/>
    <w:rsid w:val="002C4FC4"/>
    <w:rsid w:val="002C5EA9"/>
    <w:rsid w:val="002C79AD"/>
    <w:rsid w:val="002E2987"/>
    <w:rsid w:val="002E38F6"/>
    <w:rsid w:val="002E6F22"/>
    <w:rsid w:val="002F7E67"/>
    <w:rsid w:val="003007F3"/>
    <w:rsid w:val="00302F83"/>
    <w:rsid w:val="00304F8C"/>
    <w:rsid w:val="0031341B"/>
    <w:rsid w:val="00317834"/>
    <w:rsid w:val="00322BB8"/>
    <w:rsid w:val="00340E5F"/>
    <w:rsid w:val="00346CD1"/>
    <w:rsid w:val="00347AC8"/>
    <w:rsid w:val="00371303"/>
    <w:rsid w:val="0037381C"/>
    <w:rsid w:val="003A3531"/>
    <w:rsid w:val="003B0943"/>
    <w:rsid w:val="003D01C2"/>
    <w:rsid w:val="00401423"/>
    <w:rsid w:val="0041359F"/>
    <w:rsid w:val="00413BDD"/>
    <w:rsid w:val="00432A2C"/>
    <w:rsid w:val="00442A52"/>
    <w:rsid w:val="00442F3B"/>
    <w:rsid w:val="004449C0"/>
    <w:rsid w:val="00472FB6"/>
    <w:rsid w:val="004817DC"/>
    <w:rsid w:val="00484FAF"/>
    <w:rsid w:val="00486A9F"/>
    <w:rsid w:val="004879F2"/>
    <w:rsid w:val="00496912"/>
    <w:rsid w:val="004A01B4"/>
    <w:rsid w:val="004B34AC"/>
    <w:rsid w:val="0051575C"/>
    <w:rsid w:val="00527021"/>
    <w:rsid w:val="005316A1"/>
    <w:rsid w:val="0053181D"/>
    <w:rsid w:val="005319D1"/>
    <w:rsid w:val="0053375A"/>
    <w:rsid w:val="00533C6C"/>
    <w:rsid w:val="00562E85"/>
    <w:rsid w:val="005878A1"/>
    <w:rsid w:val="00594D08"/>
    <w:rsid w:val="005A1571"/>
    <w:rsid w:val="005A2E84"/>
    <w:rsid w:val="005A769F"/>
    <w:rsid w:val="005A7BEA"/>
    <w:rsid w:val="005B08D6"/>
    <w:rsid w:val="005E3746"/>
    <w:rsid w:val="005E4B66"/>
    <w:rsid w:val="00613FC7"/>
    <w:rsid w:val="00617550"/>
    <w:rsid w:val="0062627E"/>
    <w:rsid w:val="00645602"/>
    <w:rsid w:val="0065033F"/>
    <w:rsid w:val="00650A87"/>
    <w:rsid w:val="006822B1"/>
    <w:rsid w:val="00690DA9"/>
    <w:rsid w:val="006B77AE"/>
    <w:rsid w:val="006C3B5D"/>
    <w:rsid w:val="006D7B47"/>
    <w:rsid w:val="006E0A6A"/>
    <w:rsid w:val="006F50E4"/>
    <w:rsid w:val="00701330"/>
    <w:rsid w:val="0070329F"/>
    <w:rsid w:val="007223C7"/>
    <w:rsid w:val="00744E0B"/>
    <w:rsid w:val="0075083A"/>
    <w:rsid w:val="00761BA9"/>
    <w:rsid w:val="0076496D"/>
    <w:rsid w:val="007656C6"/>
    <w:rsid w:val="00782867"/>
    <w:rsid w:val="00793191"/>
    <w:rsid w:val="0079435D"/>
    <w:rsid w:val="007F4332"/>
    <w:rsid w:val="008214FB"/>
    <w:rsid w:val="008263F9"/>
    <w:rsid w:val="00841A84"/>
    <w:rsid w:val="008422A6"/>
    <w:rsid w:val="00847100"/>
    <w:rsid w:val="00852597"/>
    <w:rsid w:val="0085564E"/>
    <w:rsid w:val="0086271A"/>
    <w:rsid w:val="0087042D"/>
    <w:rsid w:val="008B5804"/>
    <w:rsid w:val="008B7C47"/>
    <w:rsid w:val="008D0AD4"/>
    <w:rsid w:val="008D50ED"/>
    <w:rsid w:val="008F3CA8"/>
    <w:rsid w:val="0090354C"/>
    <w:rsid w:val="0091443A"/>
    <w:rsid w:val="00914802"/>
    <w:rsid w:val="00930C36"/>
    <w:rsid w:val="009371B8"/>
    <w:rsid w:val="00941301"/>
    <w:rsid w:val="00943DB1"/>
    <w:rsid w:val="00952149"/>
    <w:rsid w:val="00976F92"/>
    <w:rsid w:val="00985515"/>
    <w:rsid w:val="0099065A"/>
    <w:rsid w:val="009906BA"/>
    <w:rsid w:val="009A4C61"/>
    <w:rsid w:val="009C00E5"/>
    <w:rsid w:val="009C6453"/>
    <w:rsid w:val="009F1859"/>
    <w:rsid w:val="009F4D8C"/>
    <w:rsid w:val="00A106F3"/>
    <w:rsid w:val="00A20EC0"/>
    <w:rsid w:val="00A276CD"/>
    <w:rsid w:val="00A47116"/>
    <w:rsid w:val="00A47307"/>
    <w:rsid w:val="00A5040E"/>
    <w:rsid w:val="00A712BD"/>
    <w:rsid w:val="00A73D2A"/>
    <w:rsid w:val="00A90DA0"/>
    <w:rsid w:val="00AA2349"/>
    <w:rsid w:val="00AA3A00"/>
    <w:rsid w:val="00AA3FC9"/>
    <w:rsid w:val="00AA4A3C"/>
    <w:rsid w:val="00AB3AC3"/>
    <w:rsid w:val="00AC7492"/>
    <w:rsid w:val="00AF07E2"/>
    <w:rsid w:val="00AF3810"/>
    <w:rsid w:val="00B016CC"/>
    <w:rsid w:val="00B02158"/>
    <w:rsid w:val="00B11EF7"/>
    <w:rsid w:val="00B14A70"/>
    <w:rsid w:val="00B2572F"/>
    <w:rsid w:val="00B3414E"/>
    <w:rsid w:val="00B44589"/>
    <w:rsid w:val="00B560E1"/>
    <w:rsid w:val="00B73A2C"/>
    <w:rsid w:val="00B77A9A"/>
    <w:rsid w:val="00B92AF1"/>
    <w:rsid w:val="00B947FB"/>
    <w:rsid w:val="00BA056F"/>
    <w:rsid w:val="00C21326"/>
    <w:rsid w:val="00C22F4E"/>
    <w:rsid w:val="00C36410"/>
    <w:rsid w:val="00C53EBD"/>
    <w:rsid w:val="00C74CB1"/>
    <w:rsid w:val="00C84467"/>
    <w:rsid w:val="00CB38A9"/>
    <w:rsid w:val="00CC1FA8"/>
    <w:rsid w:val="00CD3D1D"/>
    <w:rsid w:val="00D01AE7"/>
    <w:rsid w:val="00D07216"/>
    <w:rsid w:val="00D119EE"/>
    <w:rsid w:val="00D3030D"/>
    <w:rsid w:val="00D479A3"/>
    <w:rsid w:val="00D53C7D"/>
    <w:rsid w:val="00D5486D"/>
    <w:rsid w:val="00D578D1"/>
    <w:rsid w:val="00D65130"/>
    <w:rsid w:val="00D65832"/>
    <w:rsid w:val="00D81E30"/>
    <w:rsid w:val="00DC6339"/>
    <w:rsid w:val="00DE066A"/>
    <w:rsid w:val="00E259F6"/>
    <w:rsid w:val="00E31A0E"/>
    <w:rsid w:val="00E31F92"/>
    <w:rsid w:val="00E32BE8"/>
    <w:rsid w:val="00E614DC"/>
    <w:rsid w:val="00E820C9"/>
    <w:rsid w:val="00E969B9"/>
    <w:rsid w:val="00EA1835"/>
    <w:rsid w:val="00EC23D0"/>
    <w:rsid w:val="00ED7635"/>
    <w:rsid w:val="00F07530"/>
    <w:rsid w:val="00F10BF2"/>
    <w:rsid w:val="00F32DEA"/>
    <w:rsid w:val="00F35162"/>
    <w:rsid w:val="00F353EA"/>
    <w:rsid w:val="00F35CC7"/>
    <w:rsid w:val="00F42061"/>
    <w:rsid w:val="00F71447"/>
    <w:rsid w:val="00F85780"/>
    <w:rsid w:val="00FC1086"/>
    <w:rsid w:val="00FC3F2F"/>
    <w:rsid w:val="00FD75D5"/>
    <w:rsid w:val="00FD7760"/>
    <w:rsid w:val="00FE1CE7"/>
    <w:rsid w:val="075F3522"/>
    <w:rsid w:val="07630750"/>
    <w:rsid w:val="0E7650B1"/>
    <w:rsid w:val="113C10E6"/>
    <w:rsid w:val="11901C11"/>
    <w:rsid w:val="127A45B1"/>
    <w:rsid w:val="13045469"/>
    <w:rsid w:val="14DF05F0"/>
    <w:rsid w:val="15C66635"/>
    <w:rsid w:val="176C32CC"/>
    <w:rsid w:val="19DA6E90"/>
    <w:rsid w:val="1DA87E76"/>
    <w:rsid w:val="236E0F7A"/>
    <w:rsid w:val="26835D3F"/>
    <w:rsid w:val="299C08EB"/>
    <w:rsid w:val="2AFA03CF"/>
    <w:rsid w:val="2D3A5D67"/>
    <w:rsid w:val="2F2F3D79"/>
    <w:rsid w:val="361538D9"/>
    <w:rsid w:val="363E129D"/>
    <w:rsid w:val="3EFF0E47"/>
    <w:rsid w:val="403304CE"/>
    <w:rsid w:val="457B30A8"/>
    <w:rsid w:val="45FE3DC3"/>
    <w:rsid w:val="493A39EA"/>
    <w:rsid w:val="494B1B99"/>
    <w:rsid w:val="49694253"/>
    <w:rsid w:val="4A692833"/>
    <w:rsid w:val="50012753"/>
    <w:rsid w:val="595027EF"/>
    <w:rsid w:val="62837F81"/>
    <w:rsid w:val="63327B9F"/>
    <w:rsid w:val="635167CE"/>
    <w:rsid w:val="67DC20EE"/>
    <w:rsid w:val="6AC00EF4"/>
    <w:rsid w:val="71F122D2"/>
    <w:rsid w:val="73350E0E"/>
    <w:rsid w:val="774866C4"/>
    <w:rsid w:val="789A1EF3"/>
    <w:rsid w:val="7E9A02D8"/>
    <w:rsid w:val="7EC65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link w:val="21"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6E6E6E"/>
      <w:u w:val="none"/>
    </w:rPr>
  </w:style>
  <w:style w:type="character" w:styleId="10">
    <w:name w:val="Emphasis"/>
    <w:basedOn w:val="7"/>
    <w:qFormat/>
    <w:locked/>
    <w:uiPriority w:val="0"/>
    <w:rPr>
      <w:u w:val="none"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semiHidden/>
    <w:unhideWhenUsed/>
    <w:qFormat/>
    <w:uiPriority w:val="99"/>
    <w:rPr>
      <w:color w:val="6E6E6E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styleId="17">
    <w:name w:val="HTML Keyboard"/>
    <w:basedOn w:val="7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semiHidden/>
    <w:unhideWhenUsed/>
    <w:qFormat/>
    <w:uiPriority w:val="99"/>
    <w:rPr>
      <w:rFonts w:ascii="Courier New" w:hAnsi="Courier New" w:eastAsia="Courier New" w:cs="Courier New"/>
    </w:rPr>
  </w:style>
  <w:style w:type="character" w:customStyle="1" w:styleId="19">
    <w:name w:val="页脚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标题 Char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2">
    <w:name w:val="hover1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2105</Words>
  <Characters>2233</Characters>
  <Lines>19</Lines>
  <Paragraphs>5</Paragraphs>
  <TotalTime>0</TotalTime>
  <ScaleCrop>false</ScaleCrop>
  <LinksUpToDate>false</LinksUpToDate>
  <CharactersWithSpaces>2238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2020-09-30T08:22:00Z</dcterms:created>
  <dc:creator>Administrator</dc:creator>
  <cp:lastModifiedBy>---</cp:lastModifiedBy>
  <cp:lastPrinted>2019-10-28T07:38:00Z</cp:lastPrinted>
  <dcterms:modified xsi:type="dcterms:W3CDTF">2023-11-21T00:54:41Z</dcterms:modified>
  <dc:title>信阳市羊山新区2017年部门预算说明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94CCECC9047F4D24A896D352396356A0_13</vt:lpwstr>
  </property>
</Properties>
</file>