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 w:cs="华文中宋"/>
          <w:b/>
          <w:bCs/>
          <w:sz w:val="36"/>
          <w:szCs w:val="36"/>
        </w:rPr>
      </w:pPr>
    </w:p>
    <w:p>
      <w:pPr>
        <w:spacing w:line="600" w:lineRule="exact"/>
        <w:jc w:val="center"/>
        <w:rPr>
          <w:rFonts w:ascii="黑体" w:hAnsi="华文中宋" w:eastAsia="黑体" w:cs="??_GB320"/>
          <w:b/>
          <w:bCs/>
          <w:sz w:val="44"/>
          <w:szCs w:val="44"/>
        </w:rPr>
      </w:pPr>
      <w:r>
        <w:rPr>
          <w:rFonts w:hint="eastAsia" w:ascii="黑体" w:hAnsi="华文中宋" w:eastAsia="黑体" w:cs="华文中宋"/>
          <w:b/>
          <w:bCs/>
          <w:sz w:val="44"/>
          <w:szCs w:val="44"/>
        </w:rPr>
        <w:t>信阳市羊山新区</w:t>
      </w:r>
      <w:r>
        <w:rPr>
          <w:rFonts w:hint="eastAsia" w:ascii="黑体" w:hAnsi="华文中宋" w:eastAsia="黑体" w:cs="华文中宋"/>
          <w:b/>
          <w:bCs/>
          <w:sz w:val="44"/>
          <w:szCs w:val="44"/>
          <w:lang w:eastAsia="zh-CN"/>
        </w:rPr>
        <w:t>2023年</w:t>
      </w:r>
      <w:r>
        <w:rPr>
          <w:rFonts w:hint="eastAsia" w:ascii="黑体" w:hAnsi="华文中宋" w:eastAsia="黑体" w:cs="华文中宋"/>
          <w:b/>
          <w:bCs/>
          <w:sz w:val="44"/>
          <w:szCs w:val="44"/>
        </w:rPr>
        <w:t>部门</w:t>
      </w:r>
      <w:r>
        <w:rPr>
          <w:rFonts w:hint="eastAsia" w:ascii="黑体" w:hAnsi="华文中宋" w:eastAsia="黑体" w:cs="??_GB320"/>
          <w:b/>
          <w:bCs/>
          <w:sz w:val="44"/>
          <w:szCs w:val="44"/>
        </w:rPr>
        <w:t>预算说明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一、羊山新区基本情况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（一）工作职责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内设机构</w:t>
      </w:r>
    </w:p>
    <w:p>
      <w:pPr>
        <w:spacing w:line="600" w:lineRule="exact"/>
        <w:rPr>
          <w:rFonts w:ascii="仿宋_GB2312" w:hAnsi="??_GB320" w:eastAsia="仿宋_GB2312" w:cs="??_GB320"/>
          <w:b/>
          <w:sz w:val="32"/>
          <w:szCs w:val="32"/>
        </w:rPr>
      </w:pPr>
      <w:r>
        <w:rPr>
          <w:rFonts w:hint="eastAsia" w:ascii="仿宋_GB2312" w:hAnsi="??_GB320" w:eastAsia="仿宋_GB2312" w:cs="??_GB320"/>
          <w:b/>
          <w:bCs/>
          <w:sz w:val="32"/>
          <w:szCs w:val="32"/>
        </w:rPr>
        <w:t>二</w:t>
      </w:r>
      <w:r>
        <w:rPr>
          <w:rFonts w:hint="eastAsia" w:ascii="仿宋_GB2312" w:hAnsi="??_GB320" w:eastAsia="仿宋_GB2312" w:cs="??_GB320"/>
          <w:b/>
          <w:sz w:val="32"/>
          <w:szCs w:val="32"/>
        </w:rPr>
        <w:t>、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2023年</w:t>
      </w:r>
      <w:r>
        <w:rPr>
          <w:rFonts w:hint="eastAsia" w:ascii="仿宋_GB2312" w:eastAsia="仿宋_GB2312"/>
          <w:b/>
          <w:sz w:val="32"/>
          <w:szCs w:val="32"/>
        </w:rPr>
        <w:t>度部门预算情况说明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三、名词解释（注：根据本单位预算说明结合实际工作，作出专业名词的说明解释。）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附件：羊山新区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2023年</w:t>
      </w:r>
      <w:r>
        <w:rPr>
          <w:rFonts w:hint="eastAsia" w:ascii="仿宋_GB2312" w:eastAsia="仿宋_GB2312"/>
          <w:b/>
          <w:sz w:val="32"/>
          <w:szCs w:val="32"/>
        </w:rPr>
        <w:t>度部门预算表</w:t>
      </w:r>
    </w:p>
    <w:p>
      <w:pPr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一、</w:t>
      </w:r>
      <w:r>
        <w:rPr>
          <w:rFonts w:hint="eastAsia" w:ascii="仿宋_GB2312" w:eastAsia="仿宋_GB2312"/>
          <w:b/>
          <w:sz w:val="32"/>
          <w:szCs w:val="32"/>
        </w:rPr>
        <w:t>部门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收支总表</w:t>
      </w:r>
    </w:p>
    <w:p>
      <w:pPr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二、</w:t>
      </w:r>
      <w:r>
        <w:rPr>
          <w:rFonts w:hint="eastAsia" w:ascii="仿宋_GB2312" w:eastAsia="仿宋_GB2312"/>
          <w:b/>
          <w:sz w:val="32"/>
          <w:szCs w:val="32"/>
        </w:rPr>
        <w:t>部门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收入总表</w:t>
      </w:r>
    </w:p>
    <w:p>
      <w:pPr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三、</w:t>
      </w:r>
      <w:r>
        <w:rPr>
          <w:rFonts w:hint="eastAsia" w:ascii="仿宋_GB2312" w:eastAsia="仿宋_GB2312"/>
          <w:b/>
          <w:sz w:val="32"/>
          <w:szCs w:val="32"/>
        </w:rPr>
        <w:t>部门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支出总表</w:t>
      </w:r>
    </w:p>
    <w:p>
      <w:pPr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四、财政拨款收支总表</w:t>
      </w:r>
    </w:p>
    <w:p>
      <w:pPr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五、一般公共预算支出表</w:t>
      </w:r>
    </w:p>
    <w:p>
      <w:pPr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六、一般公共预算基本支出表</w:t>
      </w:r>
    </w:p>
    <w:p>
      <w:pPr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七、一般公共预算“三公”经费支出表</w:t>
      </w:r>
    </w:p>
    <w:p>
      <w:pPr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八、政府性基金预算支出表</w:t>
      </w:r>
    </w:p>
    <w:p>
      <w:pPr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九、项目支出表</w:t>
      </w: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rPr>
          <w:rFonts w:hint="eastAsia" w:ascii="仿宋_GB2312" w:eastAsia="仿宋_GB2312"/>
          <w:b/>
          <w:sz w:val="32"/>
          <w:szCs w:val="32"/>
        </w:rPr>
      </w:pPr>
      <w:bookmarkStart w:id="0" w:name="_GoBack"/>
      <w:bookmarkEnd w:id="0"/>
    </w:p>
    <w:p>
      <w:pPr>
        <w:ind w:firstLine="630" w:firstLineChars="196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一、</w:t>
      </w:r>
      <w:r>
        <w:rPr>
          <w:rFonts w:hint="eastAsia" w:ascii="黑体" w:eastAsia="黑体"/>
          <w:sz w:val="32"/>
          <w:szCs w:val="32"/>
        </w:rPr>
        <w:t>羊山新区基本情况</w:t>
      </w:r>
    </w:p>
    <w:p>
      <w:pPr>
        <w:ind w:firstLine="630" w:firstLineChars="196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（一）工作职责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、负责党的路线、方针、政策和市委、市政府重大决策在新区的贯彻落实；负责新区机关及所属单位党组织建设、思想建设、作风建设及廉政建设等工作。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、负责编制新区的经济、社会发展规划，经市政府批准后实施；负责制定新区的行政管理规定并组织实施。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、负责制定用地、融资、财税、招商引资、人才引进等优惠政策、激活新区开发建设机制。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、在信阳市城市总体规划框架内，参与分区规划和详细规划编制的组织和实施工作，享有规划、建设、环保、房管和城市管理行政执法权。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、负责新区内土地的规划、征用、开发和管理，享有土地监察执法权；负责制定已征土地供地方案、与企业签订土地出让合同、核发土地权证等。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、负责区域内房产工作的行政管理和行业管理。负责区域内房产证的审核、发放；负责办理区域内房地产开发企业资质、物业管理企业资质、房地产广告的审批。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、负责新区内各项基础设施和公共设施的统一规划、建设与管理。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、负责管理新区内机构编制、劳动人事、社会保障、民政事务、计划生育、科教文卫、工青妇工作、精神文明建设和基层政权建设。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、市委、市政府赋予的其他职权。</w:t>
      </w:r>
    </w:p>
    <w:p>
      <w:pPr>
        <w:ind w:firstLine="630" w:firstLineChars="196"/>
        <w:jc w:val="left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（二）内设机构</w:t>
      </w:r>
    </w:p>
    <w:p>
      <w:pPr>
        <w:ind w:firstLine="627" w:firstLineChars="196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羊山新区管理委员会为市政府的派出机构，机构规格为正处级，负责对新区管辖区域内的经济、科技文化、社会事务、开发建设、招商融资等行使统一管理职能，下辖羊山、前进、南京路、龙飞山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政和、北湖、二十里河、新申、双井、陆庙等十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个办事处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筹建处）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彭家湾乡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。现有学校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所，</w:t>
      </w:r>
      <w:r>
        <w:rPr>
          <w:rFonts w:hint="eastAsia" w:ascii="仿宋_GB2312" w:eastAsia="仿宋_GB2312"/>
          <w:sz w:val="32"/>
          <w:szCs w:val="32"/>
        </w:rPr>
        <w:t>其中初级中学1所，小学1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，幼儿园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所。</w:t>
      </w:r>
    </w:p>
    <w:p>
      <w:pPr>
        <w:ind w:firstLine="630" w:firstLineChars="196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??_GB320" w:eastAsia="仿宋_GB2312" w:cs="??_GB320"/>
          <w:b/>
          <w:bCs/>
          <w:sz w:val="32"/>
          <w:szCs w:val="32"/>
        </w:rPr>
        <w:t>二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、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2023年</w:t>
      </w:r>
      <w:r>
        <w:rPr>
          <w:rFonts w:hint="eastAsia" w:ascii="仿宋_GB2312" w:eastAsia="仿宋_GB2312"/>
          <w:b/>
          <w:sz w:val="32"/>
          <w:szCs w:val="32"/>
        </w:rPr>
        <w:t>度部门预算情况说明</w:t>
      </w:r>
    </w:p>
    <w:p>
      <w:pPr>
        <w:ind w:firstLine="624" w:firstLineChars="195"/>
        <w:rPr>
          <w:rFonts w:ascii="仿宋_GB2312" w:hAnsi="新宋体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一）部门收入支出预算总体情况说明</w:t>
      </w:r>
    </w:p>
    <w:p>
      <w:pPr>
        <w:ind w:firstLine="640" w:firstLineChars="200"/>
        <w:rPr>
          <w:rFonts w:hint="eastAsia" w:ascii="仿宋_GB2312" w:hAnsi="新宋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新宋体" w:eastAsia="仿宋_GB2312"/>
          <w:bCs/>
          <w:sz w:val="32"/>
          <w:szCs w:val="32"/>
        </w:rPr>
        <w:t>羊山新区</w:t>
      </w:r>
      <w:r>
        <w:rPr>
          <w:rFonts w:hint="eastAsia" w:ascii="仿宋_GB2312" w:hAnsi="新宋体" w:eastAsia="仿宋_GB2312"/>
          <w:sz w:val="32"/>
          <w:szCs w:val="32"/>
          <w:lang w:eastAsia="zh-CN"/>
        </w:rPr>
        <w:t>2023年</w:t>
      </w:r>
      <w:r>
        <w:rPr>
          <w:rFonts w:hint="eastAsia" w:ascii="仿宋_GB2312" w:eastAsia="仿宋_GB2312"/>
          <w:sz w:val="32"/>
          <w:szCs w:val="32"/>
        </w:rPr>
        <w:t>部门</w:t>
      </w:r>
      <w:r>
        <w:rPr>
          <w:rFonts w:hint="eastAsia" w:ascii="仿宋_GB2312" w:hAnsi="新宋体" w:eastAsia="仿宋_GB2312"/>
          <w:sz w:val="32"/>
          <w:szCs w:val="32"/>
        </w:rPr>
        <w:t>收入总计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97789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</w:t>
      </w:r>
      <w:r>
        <w:rPr>
          <w:rFonts w:hint="eastAsia" w:ascii="仿宋_GB2312" w:hAnsi="新宋体" w:eastAsia="仿宋_GB2312"/>
          <w:sz w:val="32"/>
          <w:szCs w:val="32"/>
        </w:rPr>
        <w:t>元，</w:t>
      </w:r>
      <w:r>
        <w:rPr>
          <w:rFonts w:hint="eastAsia" w:ascii="仿宋_GB2312" w:eastAsia="仿宋_GB2312"/>
          <w:color w:val="000000"/>
          <w:sz w:val="32"/>
          <w:szCs w:val="32"/>
        </w:rPr>
        <w:t>支出总计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97789万元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hAnsi="新宋体" w:eastAsia="仿宋_GB2312"/>
          <w:bCs/>
          <w:sz w:val="32"/>
          <w:szCs w:val="32"/>
        </w:rPr>
        <w:t>与</w:t>
      </w:r>
      <w:r>
        <w:rPr>
          <w:rFonts w:hint="eastAsia" w:ascii="仿宋_GB2312" w:hAnsi="新宋体" w:eastAsia="仿宋_GB2312"/>
          <w:bCs/>
          <w:sz w:val="32"/>
          <w:szCs w:val="32"/>
          <w:lang w:eastAsia="zh-CN"/>
        </w:rPr>
        <w:t>2022年</w:t>
      </w:r>
      <w:r>
        <w:rPr>
          <w:rFonts w:hint="eastAsia" w:ascii="仿宋_GB2312" w:hAnsi="新宋体" w:eastAsia="仿宋_GB2312"/>
          <w:bCs/>
          <w:sz w:val="32"/>
          <w:szCs w:val="32"/>
        </w:rPr>
        <w:t>相比收支总计各</w:t>
      </w:r>
      <w:r>
        <w:rPr>
          <w:rFonts w:hint="eastAsia" w:ascii="仿宋_GB2312" w:hAnsi="新宋体" w:eastAsia="仿宋_GB2312"/>
          <w:bCs/>
          <w:sz w:val="32"/>
          <w:szCs w:val="32"/>
          <w:lang w:val="en-US" w:eastAsia="zh-CN"/>
        </w:rPr>
        <w:t>增加1620</w:t>
      </w:r>
      <w:r>
        <w:rPr>
          <w:rFonts w:hint="eastAsia" w:ascii="仿宋_GB2312" w:hAnsi="新宋体" w:eastAsia="仿宋_GB2312"/>
          <w:bCs/>
          <w:sz w:val="32"/>
          <w:szCs w:val="32"/>
        </w:rPr>
        <w:t>万元。</w:t>
      </w:r>
      <w:r>
        <w:rPr>
          <w:rFonts w:hint="eastAsia" w:ascii="仿宋_GB2312" w:hAnsi="新宋体" w:eastAsia="仿宋_GB2312"/>
          <w:bCs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（二）部门收入预算说明</w:t>
      </w:r>
    </w:p>
    <w:p>
      <w:pPr>
        <w:ind w:firstLine="640" w:firstLineChars="200"/>
        <w:rPr>
          <w:rFonts w:ascii="黑体" w:hAnsi="宋体" w:eastAsia="黑体" w:cs="宋体"/>
          <w:color w:val="000000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羊山新区</w:t>
      </w:r>
      <w:r>
        <w:rPr>
          <w:rFonts w:hint="eastAsia" w:ascii="仿宋_GB2312" w:hAnsi="新宋体" w:eastAsia="仿宋_GB2312"/>
          <w:sz w:val="32"/>
          <w:szCs w:val="32"/>
          <w:lang w:eastAsia="zh-CN"/>
        </w:rPr>
        <w:t>2023年</w:t>
      </w:r>
      <w:r>
        <w:rPr>
          <w:rFonts w:hint="eastAsia" w:ascii="仿宋_GB2312" w:eastAsia="仿宋_GB2312"/>
          <w:sz w:val="32"/>
          <w:szCs w:val="32"/>
        </w:rPr>
        <w:t>部门收入预算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97789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</w:t>
      </w:r>
      <w:r>
        <w:rPr>
          <w:rFonts w:hint="eastAsia" w:ascii="仿宋_GB2312" w:hAnsi="新宋体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</w:rPr>
        <w:t>，其中：一般公共预算收入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97789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</w:t>
      </w:r>
      <w:r>
        <w:rPr>
          <w:rFonts w:hint="eastAsia" w:ascii="仿宋_GB2312" w:hAnsi="新宋体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</w:rPr>
        <w:t>,其他收入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（三）部门支出预算总体情况说明</w:t>
      </w:r>
    </w:p>
    <w:p>
      <w:pPr>
        <w:ind w:firstLine="640" w:firstLineChars="200"/>
        <w:rPr>
          <w:rFonts w:ascii="黑体" w:hAnsi="宋体" w:eastAsia="黑体" w:cs="宋体"/>
          <w:color w:val="000000"/>
          <w:sz w:val="22"/>
          <w:szCs w:val="2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羊山新区</w:t>
      </w:r>
      <w:r>
        <w:rPr>
          <w:rFonts w:hint="eastAsia" w:ascii="仿宋_GB2312" w:eastAsia="仿宋_GB2312"/>
          <w:sz w:val="32"/>
          <w:szCs w:val="32"/>
          <w:lang w:eastAsia="zh-CN"/>
        </w:rPr>
        <w:t>2023年</w:t>
      </w:r>
      <w:r>
        <w:rPr>
          <w:rFonts w:hint="eastAsia" w:ascii="仿宋_GB2312" w:eastAsia="仿宋_GB2312"/>
          <w:sz w:val="32"/>
          <w:szCs w:val="32"/>
        </w:rPr>
        <w:t>一般公共预算支出预算为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97789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</w:t>
      </w:r>
      <w:r>
        <w:rPr>
          <w:rFonts w:hint="eastAsia" w:ascii="仿宋_GB2312" w:hAnsi="新宋体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基本支出预算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36774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万元，占</w:t>
      </w:r>
      <w:r>
        <w:rPr>
          <w:rFonts w:hint="eastAsia" w:ascii="仿宋_GB2312" w:eastAsia="仿宋_GB2312"/>
          <w:sz w:val="32"/>
          <w:szCs w:val="32"/>
        </w:rPr>
        <w:t>预算的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38</w:t>
      </w:r>
      <w:r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；项目支出预算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61015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万元,占</w:t>
      </w:r>
      <w:r>
        <w:rPr>
          <w:rFonts w:hint="eastAsia" w:ascii="仿宋_GB2312" w:eastAsia="仿宋_GB2312"/>
          <w:sz w:val="32"/>
          <w:szCs w:val="32"/>
        </w:rPr>
        <w:t>预算的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62</w:t>
      </w:r>
      <w:r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（四）财政拨款收入支出预算总体情况说明</w:t>
      </w:r>
    </w:p>
    <w:p>
      <w:pPr>
        <w:ind w:firstLine="640" w:firstLineChars="200"/>
        <w:rPr>
          <w:rFonts w:ascii="黑体" w:hAnsi="宋体" w:eastAsia="黑体" w:cs="宋体"/>
          <w:color w:val="000000"/>
          <w:kern w:val="0"/>
          <w:sz w:val="22"/>
          <w:szCs w:val="22"/>
        </w:rPr>
      </w:pPr>
      <w:r>
        <w:rPr>
          <w:rFonts w:hint="eastAsia" w:ascii="仿宋_GB2312" w:eastAsia="仿宋_GB2312"/>
          <w:sz w:val="32"/>
          <w:szCs w:val="32"/>
        </w:rPr>
        <w:t>羊山新区</w:t>
      </w:r>
      <w:r>
        <w:rPr>
          <w:rFonts w:hint="eastAsia" w:ascii="仿宋_GB2312" w:eastAsia="仿宋_GB2312"/>
          <w:sz w:val="32"/>
          <w:szCs w:val="32"/>
          <w:lang w:eastAsia="zh-CN"/>
        </w:rPr>
        <w:t>2023年</w:t>
      </w:r>
      <w:r>
        <w:rPr>
          <w:rFonts w:hint="eastAsia" w:ascii="仿宋_GB2312" w:eastAsia="仿宋_GB2312"/>
          <w:sz w:val="32"/>
          <w:szCs w:val="32"/>
        </w:rPr>
        <w:t>财政拨款收支预算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97789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</w:t>
      </w:r>
      <w:r>
        <w:rPr>
          <w:rFonts w:hint="eastAsia" w:ascii="仿宋_GB2312" w:hAnsi="新宋体" w:eastAsia="仿宋_GB2312"/>
          <w:sz w:val="32"/>
          <w:szCs w:val="32"/>
        </w:rPr>
        <w:t>元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hAnsi="新宋体" w:eastAsia="仿宋_GB2312"/>
          <w:bCs/>
          <w:sz w:val="32"/>
          <w:szCs w:val="32"/>
        </w:rPr>
        <w:t>与</w:t>
      </w:r>
      <w:r>
        <w:rPr>
          <w:rFonts w:hint="eastAsia" w:ascii="仿宋_GB2312" w:hAnsi="新宋体" w:eastAsia="仿宋_GB2312"/>
          <w:bCs/>
          <w:sz w:val="32"/>
          <w:szCs w:val="32"/>
          <w:lang w:eastAsia="zh-CN"/>
        </w:rPr>
        <w:t>2022年</w:t>
      </w:r>
      <w:r>
        <w:rPr>
          <w:rFonts w:hint="eastAsia" w:ascii="仿宋_GB2312" w:hAnsi="新宋体" w:eastAsia="仿宋_GB2312"/>
          <w:bCs/>
          <w:sz w:val="32"/>
          <w:szCs w:val="32"/>
        </w:rPr>
        <w:t>相比收支总计各</w:t>
      </w:r>
      <w:r>
        <w:rPr>
          <w:rFonts w:hint="eastAsia" w:ascii="仿宋_GB2312" w:hAnsi="新宋体" w:eastAsia="仿宋_GB2312"/>
          <w:bCs/>
          <w:sz w:val="32"/>
          <w:szCs w:val="32"/>
          <w:lang w:val="en-US" w:eastAsia="zh-CN"/>
        </w:rPr>
        <w:t>增加1620</w:t>
      </w:r>
      <w:r>
        <w:rPr>
          <w:rFonts w:hint="eastAsia" w:ascii="仿宋_GB2312" w:hAnsi="新宋体" w:eastAsia="仿宋_GB2312"/>
          <w:bCs/>
          <w:sz w:val="32"/>
          <w:szCs w:val="32"/>
        </w:rPr>
        <w:t>万元。</w:t>
      </w:r>
    </w:p>
    <w:p>
      <w:pPr>
        <w:ind w:firstLine="624" w:firstLineChars="1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（五）一般公共预算支出情况说明</w:t>
      </w:r>
    </w:p>
    <w:p>
      <w:pPr>
        <w:ind w:firstLine="640" w:firstLineChars="2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羊山新区</w:t>
      </w:r>
      <w:r>
        <w:rPr>
          <w:rFonts w:hint="eastAsia" w:ascii="仿宋_GB2312" w:eastAsia="仿宋_GB2312"/>
          <w:sz w:val="32"/>
          <w:szCs w:val="32"/>
          <w:lang w:eastAsia="zh-CN"/>
        </w:rPr>
        <w:t>2023年</w:t>
      </w:r>
      <w:r>
        <w:rPr>
          <w:rFonts w:hint="eastAsia" w:ascii="仿宋_GB2312" w:eastAsia="仿宋_GB2312"/>
          <w:sz w:val="32"/>
          <w:szCs w:val="32"/>
        </w:rPr>
        <w:t>支出预算</w:t>
      </w:r>
      <w:r>
        <w:rPr>
          <w:rFonts w:hint="eastAsia" w:ascii="仿宋_GB2312" w:hAnsi="新宋体" w:eastAsia="仿宋_GB2312"/>
          <w:bCs/>
          <w:sz w:val="32"/>
          <w:szCs w:val="32"/>
          <w:lang w:val="en-US" w:eastAsia="zh-CN"/>
        </w:rPr>
        <w:t>1620</w:t>
      </w:r>
      <w:r>
        <w:rPr>
          <w:rFonts w:hint="eastAsia" w:ascii="仿宋_GB2312" w:eastAsia="仿宋_GB2312"/>
          <w:color w:val="000000"/>
          <w:sz w:val="32"/>
          <w:szCs w:val="32"/>
        </w:rPr>
        <w:t>万</w:t>
      </w:r>
      <w:r>
        <w:rPr>
          <w:rFonts w:hint="eastAsia" w:ascii="仿宋_GB2312" w:hAnsi="新宋体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其中基本支出预算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36774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万元，按支出经济分类为工资福利支出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33930</w:t>
      </w:r>
      <w:r>
        <w:rPr>
          <w:rFonts w:hint="eastAsia" w:ascii="仿宋_GB2312" w:eastAsia="仿宋_GB2312"/>
          <w:color w:val="000000"/>
          <w:sz w:val="32"/>
          <w:szCs w:val="32"/>
        </w:rPr>
        <w:t>万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元，对个人和家庭补助支出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844</w:t>
      </w:r>
      <w:r>
        <w:rPr>
          <w:rFonts w:hint="eastAsia" w:ascii="仿宋_GB2312" w:eastAsia="仿宋_GB2312"/>
          <w:color w:val="000000"/>
          <w:sz w:val="32"/>
          <w:szCs w:val="32"/>
        </w:rPr>
        <w:t>万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元，商品和服务支出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2000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；项目支出预算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61015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主要安排教育、社保、医疗卫生、农林水、住房保障、市政道路养护、创建国家文明城市、创建国家卫生城市、环境污染治理等方面支出。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（六）一般公共预算基本支出情况说明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羊山新区</w:t>
      </w:r>
      <w:r>
        <w:rPr>
          <w:rFonts w:hint="eastAsia" w:ascii="仿宋_GB2312" w:eastAsia="仿宋_GB2312"/>
          <w:sz w:val="32"/>
          <w:szCs w:val="32"/>
          <w:lang w:eastAsia="zh-CN"/>
        </w:rPr>
        <w:t>2023年</w:t>
      </w:r>
      <w:r>
        <w:rPr>
          <w:rFonts w:hint="eastAsia" w:ascii="仿宋_GB2312" w:eastAsia="仿宋_GB2312"/>
          <w:sz w:val="32"/>
          <w:szCs w:val="32"/>
        </w:rPr>
        <w:t>一般公共预算基本支出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36774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，其中人员经费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34774</w:t>
      </w:r>
      <w:r>
        <w:rPr>
          <w:rFonts w:hint="eastAsia" w:ascii="仿宋_GB2312" w:eastAsia="仿宋_GB2312"/>
          <w:color w:val="000000"/>
          <w:sz w:val="32"/>
          <w:szCs w:val="32"/>
        </w:rPr>
        <w:t>万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</w:rPr>
        <w:t>，主要包括：基本工资、津贴补贴、奖金、社会保障缴费、绩效工资、离休费、退休费、遗属补助、住房公积金、落实各项政策增资等；公用经费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2000</w:t>
      </w:r>
      <w:r>
        <w:rPr>
          <w:rFonts w:hint="eastAsia" w:ascii="仿宋_GB2312" w:eastAsia="仿宋_GB2312"/>
          <w:sz w:val="32"/>
          <w:szCs w:val="32"/>
        </w:rPr>
        <w:t>万元，主要包括：办公费、印刷费、咨询费、手续费、水费、电费、邮电费、取暖费、物业管理费、差旅费、因公出国（境）费、维修（护）费、租赁费、会议费、培训费、专用材料费、劳务费、福利费、公务用车运行维护费、其他交通费用等。</w:t>
      </w:r>
    </w:p>
    <w:p>
      <w:pPr>
        <w:ind w:firstLine="640" w:firstLineChars="200"/>
        <w:rPr>
          <w:rFonts w:ascii="仿宋_GB2312" w:hAnsi="??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</w:t>
      </w:r>
      <w:r>
        <w:rPr>
          <w:rFonts w:hint="eastAsia" w:ascii="仿宋_GB2312" w:hAnsi="??" w:eastAsia="仿宋_GB2312" w:cs="宋体"/>
          <w:sz w:val="32"/>
          <w:szCs w:val="32"/>
        </w:rPr>
        <w:t>“三公”经费支出预算情况说明</w:t>
      </w:r>
    </w:p>
    <w:p>
      <w:pPr>
        <w:spacing w:line="560" w:lineRule="exact"/>
        <w:ind w:firstLine="640" w:firstLineChars="200"/>
        <w:rPr>
          <w:rFonts w:ascii="仿宋_GB2312" w:hAnsi="??" w:eastAsia="仿宋_GB2312" w:cs="宋体"/>
          <w:sz w:val="32"/>
          <w:szCs w:val="32"/>
        </w:rPr>
      </w:pPr>
      <w:r>
        <w:rPr>
          <w:rFonts w:ascii="仿宋_GB2312" w:hAnsi="??" w:eastAsia="仿宋_GB2312" w:cs="宋体"/>
          <w:sz w:val="32"/>
          <w:szCs w:val="32"/>
        </w:rPr>
        <w:t>1</w:t>
      </w:r>
      <w:r>
        <w:rPr>
          <w:rFonts w:hint="eastAsia" w:ascii="仿宋_GB2312" w:hAnsi="??" w:eastAsia="仿宋_GB2312" w:cs="宋体"/>
          <w:sz w:val="32"/>
          <w:szCs w:val="32"/>
        </w:rPr>
        <w:t>、因公出国（境）费用：根据因公出国计划和实际工作需要，主要用于单位人员的公务出国（境）的住宿费、国际旅费、培训费、公杂费等支出。</w:t>
      </w:r>
      <w:r>
        <w:rPr>
          <w:rFonts w:hint="eastAsia" w:ascii="仿宋_GB2312" w:hAnsi="??" w:eastAsia="仿宋_GB2312" w:cs="宋体"/>
          <w:sz w:val="32"/>
          <w:szCs w:val="32"/>
          <w:lang w:eastAsia="zh-CN"/>
        </w:rPr>
        <w:t>2023年</w:t>
      </w:r>
      <w:r>
        <w:rPr>
          <w:rFonts w:hint="eastAsia" w:ascii="仿宋_GB2312" w:hAnsi="??" w:eastAsia="仿宋_GB2312" w:cs="宋体"/>
          <w:sz w:val="32"/>
          <w:szCs w:val="32"/>
        </w:rPr>
        <w:t>安排因公出国（境）费用预算</w:t>
      </w:r>
      <w:r>
        <w:rPr>
          <w:rFonts w:ascii="仿宋_GB2312" w:hAnsi="??" w:eastAsia="仿宋_GB2312" w:cs="宋体"/>
          <w:sz w:val="32"/>
          <w:szCs w:val="32"/>
        </w:rPr>
        <w:t>0</w:t>
      </w:r>
      <w:r>
        <w:rPr>
          <w:rFonts w:hint="eastAsia" w:ascii="仿宋_GB2312" w:hAnsi="??" w:eastAsia="仿宋_GB2312" w:cs="宋体"/>
          <w:sz w:val="32"/>
          <w:szCs w:val="32"/>
          <w:lang w:val="en-US" w:eastAsia="zh-CN"/>
        </w:rPr>
        <w:t>万</w:t>
      </w:r>
      <w:r>
        <w:rPr>
          <w:rFonts w:hint="eastAsia" w:ascii="仿宋_GB2312" w:hAnsi="??" w:eastAsia="仿宋_GB2312" w:cs="宋体"/>
          <w:sz w:val="32"/>
          <w:szCs w:val="32"/>
        </w:rPr>
        <w:t>元，与上年执行数相同</w:t>
      </w:r>
      <w:r>
        <w:rPr>
          <w:rFonts w:hint="eastAsia" w:ascii="仿宋_GB2312" w:hAnsi="??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??" w:eastAsia="仿宋_GB2312" w:cs="宋体"/>
          <w:sz w:val="32"/>
          <w:szCs w:val="32"/>
        </w:rPr>
        <w:t>无变化的主要原因是羊山新区无因公出国（境）安排。</w:t>
      </w:r>
    </w:p>
    <w:p>
      <w:pPr>
        <w:spacing w:line="560" w:lineRule="exact"/>
        <w:ind w:firstLine="640" w:firstLineChars="200"/>
        <w:rPr>
          <w:rFonts w:ascii="仿宋_GB2312" w:hAnsi="??" w:eastAsia="仿宋_GB2312" w:cs="宋体"/>
          <w:sz w:val="32"/>
          <w:szCs w:val="32"/>
        </w:rPr>
      </w:pPr>
      <w:r>
        <w:rPr>
          <w:rFonts w:ascii="仿宋_GB2312" w:hAnsi="??" w:eastAsia="仿宋_GB2312" w:cs="宋体"/>
          <w:sz w:val="32"/>
          <w:szCs w:val="32"/>
        </w:rPr>
        <w:t>2</w:t>
      </w:r>
      <w:r>
        <w:rPr>
          <w:rFonts w:hint="eastAsia" w:ascii="仿宋_GB2312" w:hAnsi="??" w:eastAsia="仿宋_GB2312" w:cs="宋体"/>
          <w:sz w:val="32"/>
          <w:szCs w:val="32"/>
        </w:rPr>
        <w:t>、公务接待费：</w:t>
      </w:r>
      <w:r>
        <w:rPr>
          <w:rFonts w:hint="eastAsia" w:ascii="仿宋_GB2312" w:hAnsi="??" w:eastAsia="仿宋_GB2312" w:cs="宋体"/>
          <w:sz w:val="32"/>
          <w:szCs w:val="32"/>
          <w:lang w:eastAsia="zh-CN"/>
        </w:rPr>
        <w:t>2023年</w:t>
      </w:r>
      <w:r>
        <w:rPr>
          <w:rFonts w:hint="eastAsia" w:ascii="仿宋_GB2312" w:hAnsi="??" w:eastAsia="仿宋_GB2312" w:cs="宋体"/>
          <w:sz w:val="32"/>
          <w:szCs w:val="32"/>
        </w:rPr>
        <w:t>安排公务接待费预算</w:t>
      </w:r>
      <w:r>
        <w:rPr>
          <w:rFonts w:hint="eastAsia" w:ascii="仿宋_GB2312" w:hAnsi="??" w:eastAsia="仿宋_GB2312" w:cs="宋体"/>
          <w:sz w:val="32"/>
          <w:szCs w:val="32"/>
          <w:lang w:val="en-US" w:eastAsia="zh-CN"/>
        </w:rPr>
        <w:t>60万</w:t>
      </w:r>
      <w:r>
        <w:rPr>
          <w:rFonts w:hint="eastAsia" w:ascii="仿宋_GB2312" w:hAnsi="??" w:eastAsia="仿宋_GB2312" w:cs="宋体"/>
          <w:sz w:val="32"/>
          <w:szCs w:val="32"/>
        </w:rPr>
        <w:t>元，主要用于按规定开支的各类公务接待支出。</w:t>
      </w:r>
    </w:p>
    <w:p>
      <w:pPr>
        <w:ind w:firstLine="627" w:firstLineChars="196"/>
        <w:jc w:val="left"/>
        <w:rPr>
          <w:rFonts w:ascii="仿宋_GB2312" w:hAnsi="??" w:eastAsia="仿宋_GB2312" w:cs="宋体"/>
          <w:sz w:val="32"/>
          <w:szCs w:val="32"/>
        </w:rPr>
      </w:pPr>
      <w:r>
        <w:rPr>
          <w:rFonts w:ascii="仿宋_GB2312" w:hAnsi="??" w:eastAsia="仿宋_GB2312" w:cs="宋体"/>
          <w:sz w:val="32"/>
          <w:szCs w:val="32"/>
        </w:rPr>
        <w:t>3</w:t>
      </w:r>
      <w:r>
        <w:rPr>
          <w:rFonts w:hint="eastAsia" w:ascii="仿宋_GB2312" w:hAnsi="??" w:eastAsia="仿宋_GB2312" w:cs="宋体"/>
          <w:sz w:val="32"/>
          <w:szCs w:val="32"/>
        </w:rPr>
        <w:t>、公务用车购置及运行维护费：</w:t>
      </w:r>
      <w:r>
        <w:rPr>
          <w:rFonts w:hint="eastAsia" w:ascii="仿宋_GB2312" w:hAnsi="??" w:eastAsia="仿宋_GB2312" w:cs="宋体"/>
          <w:sz w:val="32"/>
          <w:szCs w:val="32"/>
          <w:lang w:eastAsia="zh-CN"/>
        </w:rPr>
        <w:t>2023年</w:t>
      </w:r>
      <w:r>
        <w:rPr>
          <w:rFonts w:hint="eastAsia" w:ascii="仿宋_GB2312" w:hAnsi="??" w:eastAsia="仿宋_GB2312" w:cs="宋体"/>
          <w:sz w:val="32"/>
          <w:szCs w:val="32"/>
        </w:rPr>
        <w:t>安排公务用车购置费预算0元,安排公务用车运行维护费预算</w:t>
      </w:r>
      <w:r>
        <w:rPr>
          <w:rFonts w:hint="eastAsia" w:ascii="仿宋_GB2312" w:hAnsi="??" w:eastAsia="仿宋_GB2312" w:cs="宋体"/>
          <w:sz w:val="32"/>
          <w:szCs w:val="32"/>
          <w:lang w:val="en-US" w:eastAsia="zh-CN"/>
        </w:rPr>
        <w:t>303万</w:t>
      </w:r>
      <w:r>
        <w:rPr>
          <w:rFonts w:hint="eastAsia" w:ascii="仿宋_GB2312" w:hAnsi="??" w:eastAsia="仿宋_GB2312" w:cs="宋体"/>
          <w:sz w:val="32"/>
          <w:szCs w:val="32"/>
        </w:rPr>
        <w:t>元，主要用于所需的公务用车租用费、燃料费、维修费、保险费等支出。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（八）政府性基金预算情况说明</w:t>
      </w:r>
    </w:p>
    <w:p>
      <w:pPr>
        <w:ind w:firstLine="627" w:firstLineChars="196"/>
        <w:jc w:val="left"/>
        <w:rPr>
          <w:rFonts w:hint="eastAsia" w:ascii="仿宋_GB2312" w:hAnsi="??" w:eastAsia="仿宋_GB2312" w:cs="宋体"/>
          <w:sz w:val="32"/>
          <w:szCs w:val="32"/>
        </w:rPr>
      </w:pPr>
      <w:r>
        <w:rPr>
          <w:rFonts w:hint="eastAsia" w:ascii="仿宋_GB2312" w:hAnsi="??" w:eastAsia="仿宋_GB2312" w:cs="宋体"/>
          <w:sz w:val="32"/>
          <w:szCs w:val="32"/>
          <w:lang w:val="en-US" w:eastAsia="zh-CN"/>
        </w:rPr>
        <w:t>2023年无使用政府性基金预算拨款安排的支出。</w:t>
      </w:r>
    </w:p>
    <w:p>
      <w:pPr>
        <w:ind w:firstLine="630" w:firstLineChars="196"/>
        <w:rPr>
          <w:rFonts w:ascii="仿宋_GB2312" w:hAnsi="华文中宋" w:eastAsia="仿宋_GB2312" w:cs="华文中宋"/>
          <w:b/>
          <w:bCs/>
          <w:sz w:val="32"/>
          <w:szCs w:val="32"/>
        </w:rPr>
      </w:pPr>
      <w:r>
        <w:rPr>
          <w:rFonts w:hint="eastAsia" w:ascii="仿宋_GB2312" w:hAnsi="华文中宋" w:eastAsia="仿宋_GB2312" w:cs="华文中宋"/>
          <w:b/>
          <w:bCs/>
          <w:sz w:val="32"/>
          <w:szCs w:val="32"/>
        </w:rPr>
        <w:t>三、名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词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解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释</w:t>
      </w:r>
    </w:p>
    <w:p>
      <w:pPr>
        <w:rPr>
          <w:rFonts w:ascii="仿宋_GB2312" w:hAnsi="华文中宋" w:eastAsia="仿宋_GB2312" w:cs="华文中宋"/>
          <w:b/>
          <w:bCs/>
          <w:sz w:val="32"/>
          <w:szCs w:val="32"/>
        </w:rPr>
      </w:pPr>
      <w:r>
        <w:rPr>
          <w:rFonts w:ascii="仿宋_GB2312" w:hAnsi="华文中宋" w:eastAsia="仿宋_GB2312" w:cs="华文中宋"/>
          <w:b/>
          <w:bCs/>
          <w:sz w:val="32"/>
          <w:szCs w:val="32"/>
        </w:rPr>
        <w:t xml:space="preserve">    1</w:t>
      </w:r>
      <w:r>
        <w:rPr>
          <w:rFonts w:hint="eastAsia" w:ascii="仿宋_GB2312" w:hAnsi="华文中宋" w:eastAsia="仿宋_GB2312" w:cs="华文中宋"/>
          <w:b/>
          <w:bCs/>
          <w:sz w:val="32"/>
          <w:szCs w:val="32"/>
        </w:rPr>
        <w:t>、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财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政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拨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款收入：是指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财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政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当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拨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付的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资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金。</w:t>
      </w:r>
    </w:p>
    <w:p>
      <w:pPr>
        <w:ind w:firstLine="630" w:firstLineChars="196"/>
        <w:rPr>
          <w:rFonts w:ascii="仿宋_GB2312" w:hAnsi="华文中宋" w:eastAsia="仿宋_GB2312" w:cs="华文中宋"/>
          <w:b/>
          <w:bCs/>
          <w:sz w:val="32"/>
          <w:szCs w:val="32"/>
        </w:rPr>
      </w:pPr>
      <w:r>
        <w:rPr>
          <w:rFonts w:ascii="仿宋_GB2312" w:hAnsi="华文中宋" w:eastAsia="仿宋_GB2312" w:cs="华文中宋"/>
          <w:b/>
          <w:bCs/>
          <w:sz w:val="32"/>
          <w:szCs w:val="32"/>
        </w:rPr>
        <w:t>2</w:t>
      </w:r>
      <w:r>
        <w:rPr>
          <w:rFonts w:hint="eastAsia" w:ascii="仿宋_GB2312" w:hAnsi="华文中宋" w:eastAsia="仿宋_GB2312" w:cs="华文中宋"/>
          <w:b/>
          <w:bCs/>
          <w:sz w:val="32"/>
          <w:szCs w:val="32"/>
        </w:rPr>
        <w:t>、事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业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收入：是指事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业单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位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开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展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专业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活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动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及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辅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助活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动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所取得的收入。</w:t>
      </w:r>
    </w:p>
    <w:p>
      <w:pPr>
        <w:ind w:firstLine="630" w:firstLineChars="196"/>
        <w:rPr>
          <w:rFonts w:ascii="仿宋_GB2312" w:hAnsi="华文中宋" w:eastAsia="仿宋_GB2312" w:cs="华文中宋"/>
          <w:b/>
          <w:bCs/>
          <w:sz w:val="32"/>
          <w:szCs w:val="32"/>
        </w:rPr>
      </w:pPr>
      <w:r>
        <w:rPr>
          <w:rFonts w:ascii="仿宋_GB2312" w:hAnsi="华文中宋" w:eastAsia="仿宋_GB2312" w:cs="华文中宋"/>
          <w:b/>
          <w:bCs/>
          <w:sz w:val="32"/>
          <w:szCs w:val="32"/>
        </w:rPr>
        <w:t>3</w:t>
      </w:r>
      <w:r>
        <w:rPr>
          <w:rFonts w:hint="eastAsia" w:ascii="仿宋_GB2312" w:hAnsi="华文中宋" w:eastAsia="仿宋_GB2312" w:cs="华文中宋"/>
          <w:b/>
          <w:bCs/>
          <w:sz w:val="32"/>
          <w:szCs w:val="32"/>
        </w:rPr>
        <w:t>、其他收入：是指部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门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取得的除“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财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政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拨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款”、“事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业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收入”、“事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业单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位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经营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收入”等以外的收入。</w:t>
      </w:r>
    </w:p>
    <w:p>
      <w:pPr>
        <w:ind w:firstLine="630" w:firstLineChars="196"/>
        <w:rPr>
          <w:rFonts w:ascii="仿宋_GB2312" w:hAnsi="华文中宋" w:eastAsia="仿宋_GB2312" w:cs="华文中宋"/>
          <w:b/>
          <w:bCs/>
          <w:sz w:val="32"/>
          <w:szCs w:val="32"/>
        </w:rPr>
      </w:pPr>
      <w:r>
        <w:rPr>
          <w:rFonts w:ascii="仿宋_GB2312" w:hAnsi="华文中宋" w:eastAsia="仿宋_GB2312" w:cs="华文中宋"/>
          <w:b/>
          <w:bCs/>
          <w:sz w:val="32"/>
          <w:szCs w:val="32"/>
        </w:rPr>
        <w:t>4</w:t>
      </w:r>
      <w:r>
        <w:rPr>
          <w:rFonts w:hint="eastAsia" w:ascii="仿宋_GB2312" w:hAnsi="华文中宋" w:eastAsia="仿宋_GB2312" w:cs="华文中宋"/>
          <w:b/>
          <w:bCs/>
          <w:sz w:val="32"/>
          <w:szCs w:val="32"/>
        </w:rPr>
        <w:t>、基本支出：是指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为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保障机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构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正常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运转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、完成日</w:t>
      </w:r>
      <w:r>
        <w:rPr>
          <w:rFonts w:hint="eastAsia" w:ascii="仿宋_GB2312" w:hAnsi="华文中宋" w:eastAsia="仿宋_GB2312" w:cs="华文中宋"/>
          <w:b/>
          <w:bCs/>
          <w:sz w:val="32"/>
          <w:szCs w:val="32"/>
        </w:rPr>
        <w:t>常工作任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务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所必需的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开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支，其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内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容包括人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员经费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和日常公用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经费两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部分。</w:t>
      </w:r>
    </w:p>
    <w:p>
      <w:pPr>
        <w:ind w:firstLine="630" w:firstLineChars="196"/>
        <w:rPr>
          <w:rFonts w:ascii="仿宋_GB2312" w:hAnsi="华文中宋" w:eastAsia="仿宋_GB2312" w:cs="华文中宋"/>
          <w:b/>
          <w:bCs/>
          <w:sz w:val="32"/>
          <w:szCs w:val="32"/>
        </w:rPr>
      </w:pPr>
      <w:r>
        <w:rPr>
          <w:rFonts w:ascii="仿宋_GB2312" w:hAnsi="华文中宋" w:eastAsia="仿宋_GB2312" w:cs="华文中宋"/>
          <w:b/>
          <w:bCs/>
          <w:sz w:val="32"/>
          <w:szCs w:val="32"/>
        </w:rPr>
        <w:t>5</w:t>
      </w:r>
      <w:r>
        <w:rPr>
          <w:rFonts w:hint="eastAsia" w:ascii="仿宋_GB2312" w:hAnsi="华文中宋" w:eastAsia="仿宋_GB2312" w:cs="华文中宋"/>
          <w:b/>
          <w:bCs/>
          <w:sz w:val="32"/>
          <w:szCs w:val="32"/>
        </w:rPr>
        <w:t>、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项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目支出：是指在基本支出之外，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为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完成特定的行政工作任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务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或事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业发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展目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标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所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发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生的支出。</w:t>
      </w:r>
    </w:p>
    <w:p>
      <w:pPr>
        <w:ind w:firstLine="630" w:firstLineChars="196"/>
        <w:rPr>
          <w:rFonts w:ascii="仿宋_GB2312" w:hAnsi="华文中宋" w:eastAsia="仿宋_GB2312" w:cs="华文中宋"/>
          <w:b/>
          <w:bCs/>
          <w:sz w:val="32"/>
          <w:szCs w:val="32"/>
        </w:rPr>
      </w:pPr>
      <w:r>
        <w:rPr>
          <w:rFonts w:ascii="仿宋_GB2312" w:hAnsi="华文中宋" w:eastAsia="仿宋_GB2312" w:cs="华文中宋"/>
          <w:b/>
          <w:bCs/>
          <w:sz w:val="32"/>
          <w:szCs w:val="32"/>
        </w:rPr>
        <w:t>6</w:t>
      </w:r>
      <w:r>
        <w:rPr>
          <w:rFonts w:hint="eastAsia" w:ascii="仿宋_GB2312" w:hAnsi="华文中宋" w:eastAsia="仿宋_GB2312" w:cs="华文中宋"/>
          <w:b/>
          <w:bCs/>
          <w:sz w:val="32"/>
          <w:szCs w:val="32"/>
        </w:rPr>
        <w:t>、“三公”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经费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：是指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纳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入省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级财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政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预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算管理，部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门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使用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财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政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拨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款安排的因公出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国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（境）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费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、公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务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用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车购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置及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运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行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费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和公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务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接待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费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。其中，因公出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国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（境）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费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反映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单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位公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务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出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国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（境）的住宿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费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、旅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费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、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伙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食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补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助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费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、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杂费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、培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训费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等支出；公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务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用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车购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置及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运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行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费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反映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单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位公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务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用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车购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置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费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及租用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费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、燃料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费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、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维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修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费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、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过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路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过桥费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、保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险费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等支出；公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务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接待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费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反映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单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位按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规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定支出。</w:t>
      </w:r>
    </w:p>
    <w:p>
      <w:pPr>
        <w:rPr>
          <w:rFonts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_GB32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ZWI2YzdmMmMyMTZlMGQxYmI0Yzk4N2Q3N2MyZmIifQ=="/>
  </w:docVars>
  <w:rsids>
    <w:rsidRoot w:val="075F3522"/>
    <w:rsid w:val="00026105"/>
    <w:rsid w:val="000438EC"/>
    <w:rsid w:val="000511F9"/>
    <w:rsid w:val="000576F3"/>
    <w:rsid w:val="00057A1D"/>
    <w:rsid w:val="00062688"/>
    <w:rsid w:val="0007679E"/>
    <w:rsid w:val="000848BB"/>
    <w:rsid w:val="000A2045"/>
    <w:rsid w:val="000A5C98"/>
    <w:rsid w:val="000D40D1"/>
    <w:rsid w:val="000D709D"/>
    <w:rsid w:val="000E3DCD"/>
    <w:rsid w:val="001016BC"/>
    <w:rsid w:val="00114FF5"/>
    <w:rsid w:val="0012452C"/>
    <w:rsid w:val="00134CA0"/>
    <w:rsid w:val="0014045E"/>
    <w:rsid w:val="00145DAE"/>
    <w:rsid w:val="00147DFA"/>
    <w:rsid w:val="001509A7"/>
    <w:rsid w:val="00157FE0"/>
    <w:rsid w:val="00170909"/>
    <w:rsid w:val="00170CB8"/>
    <w:rsid w:val="00170E53"/>
    <w:rsid w:val="00171333"/>
    <w:rsid w:val="0017687F"/>
    <w:rsid w:val="00183AA3"/>
    <w:rsid w:val="001B666E"/>
    <w:rsid w:val="001D08BB"/>
    <w:rsid w:val="001D5890"/>
    <w:rsid w:val="001E6EF0"/>
    <w:rsid w:val="001E7CA4"/>
    <w:rsid w:val="001F30CB"/>
    <w:rsid w:val="001F523F"/>
    <w:rsid w:val="0020193B"/>
    <w:rsid w:val="00203771"/>
    <w:rsid w:val="00207F37"/>
    <w:rsid w:val="002233B1"/>
    <w:rsid w:val="002261E3"/>
    <w:rsid w:val="00251712"/>
    <w:rsid w:val="002701C6"/>
    <w:rsid w:val="002769E6"/>
    <w:rsid w:val="00291DEF"/>
    <w:rsid w:val="00297569"/>
    <w:rsid w:val="002A0413"/>
    <w:rsid w:val="002A6141"/>
    <w:rsid w:val="002A6C27"/>
    <w:rsid w:val="002B0955"/>
    <w:rsid w:val="002B25DB"/>
    <w:rsid w:val="002B7C26"/>
    <w:rsid w:val="002C4FC4"/>
    <w:rsid w:val="002C5EA9"/>
    <w:rsid w:val="002C79AD"/>
    <w:rsid w:val="002E2987"/>
    <w:rsid w:val="002E38F6"/>
    <w:rsid w:val="002E6F22"/>
    <w:rsid w:val="002F7E67"/>
    <w:rsid w:val="003007F3"/>
    <w:rsid w:val="00302F83"/>
    <w:rsid w:val="00304F8C"/>
    <w:rsid w:val="0031341B"/>
    <w:rsid w:val="00317834"/>
    <w:rsid w:val="00322BB8"/>
    <w:rsid w:val="00340E5F"/>
    <w:rsid w:val="00346CD1"/>
    <w:rsid w:val="00347AC8"/>
    <w:rsid w:val="00371303"/>
    <w:rsid w:val="0037381C"/>
    <w:rsid w:val="003A3531"/>
    <w:rsid w:val="003B0943"/>
    <w:rsid w:val="003D01C2"/>
    <w:rsid w:val="00401423"/>
    <w:rsid w:val="0041359F"/>
    <w:rsid w:val="00413BDD"/>
    <w:rsid w:val="00432A2C"/>
    <w:rsid w:val="00442A52"/>
    <w:rsid w:val="00442F3B"/>
    <w:rsid w:val="004449C0"/>
    <w:rsid w:val="00472FB6"/>
    <w:rsid w:val="004817DC"/>
    <w:rsid w:val="00484FAF"/>
    <w:rsid w:val="00486A9F"/>
    <w:rsid w:val="004879F2"/>
    <w:rsid w:val="00496912"/>
    <w:rsid w:val="004A01B4"/>
    <w:rsid w:val="004B34AC"/>
    <w:rsid w:val="0051575C"/>
    <w:rsid w:val="00527021"/>
    <w:rsid w:val="005316A1"/>
    <w:rsid w:val="0053181D"/>
    <w:rsid w:val="005319D1"/>
    <w:rsid w:val="0053375A"/>
    <w:rsid w:val="00533C6C"/>
    <w:rsid w:val="00562E85"/>
    <w:rsid w:val="005878A1"/>
    <w:rsid w:val="00594D08"/>
    <w:rsid w:val="005A1571"/>
    <w:rsid w:val="005A2E84"/>
    <w:rsid w:val="005A769F"/>
    <w:rsid w:val="005A7BEA"/>
    <w:rsid w:val="005B08D6"/>
    <w:rsid w:val="005E3746"/>
    <w:rsid w:val="005E4B66"/>
    <w:rsid w:val="00613FC7"/>
    <w:rsid w:val="00617550"/>
    <w:rsid w:val="0062627E"/>
    <w:rsid w:val="00645602"/>
    <w:rsid w:val="0065033F"/>
    <w:rsid w:val="00650A87"/>
    <w:rsid w:val="006822B1"/>
    <w:rsid w:val="00690DA9"/>
    <w:rsid w:val="006B77AE"/>
    <w:rsid w:val="006C3B5D"/>
    <w:rsid w:val="006D7B47"/>
    <w:rsid w:val="006E0A6A"/>
    <w:rsid w:val="006F50E4"/>
    <w:rsid w:val="00701330"/>
    <w:rsid w:val="0070329F"/>
    <w:rsid w:val="007223C7"/>
    <w:rsid w:val="00744E0B"/>
    <w:rsid w:val="0075083A"/>
    <w:rsid w:val="00761BA9"/>
    <w:rsid w:val="0076496D"/>
    <w:rsid w:val="007656C6"/>
    <w:rsid w:val="00782867"/>
    <w:rsid w:val="00793191"/>
    <w:rsid w:val="0079435D"/>
    <w:rsid w:val="007F4332"/>
    <w:rsid w:val="008214FB"/>
    <w:rsid w:val="008263F9"/>
    <w:rsid w:val="00841A84"/>
    <w:rsid w:val="008422A6"/>
    <w:rsid w:val="00847100"/>
    <w:rsid w:val="00852597"/>
    <w:rsid w:val="0085564E"/>
    <w:rsid w:val="0086271A"/>
    <w:rsid w:val="0087042D"/>
    <w:rsid w:val="008B5804"/>
    <w:rsid w:val="008B7C47"/>
    <w:rsid w:val="008D0AD4"/>
    <w:rsid w:val="008D50ED"/>
    <w:rsid w:val="008F3CA8"/>
    <w:rsid w:val="0090354C"/>
    <w:rsid w:val="0091443A"/>
    <w:rsid w:val="00914802"/>
    <w:rsid w:val="00930C36"/>
    <w:rsid w:val="009371B8"/>
    <w:rsid w:val="00941301"/>
    <w:rsid w:val="00943DB1"/>
    <w:rsid w:val="00952149"/>
    <w:rsid w:val="00976F92"/>
    <w:rsid w:val="00985515"/>
    <w:rsid w:val="0099065A"/>
    <w:rsid w:val="009906BA"/>
    <w:rsid w:val="009A4C61"/>
    <w:rsid w:val="009C00E5"/>
    <w:rsid w:val="009C6453"/>
    <w:rsid w:val="009F1859"/>
    <w:rsid w:val="009F4D8C"/>
    <w:rsid w:val="00A106F3"/>
    <w:rsid w:val="00A20EC0"/>
    <w:rsid w:val="00A276CD"/>
    <w:rsid w:val="00A47116"/>
    <w:rsid w:val="00A47307"/>
    <w:rsid w:val="00A5040E"/>
    <w:rsid w:val="00A712BD"/>
    <w:rsid w:val="00A73D2A"/>
    <w:rsid w:val="00A90DA0"/>
    <w:rsid w:val="00AA2349"/>
    <w:rsid w:val="00AA3A00"/>
    <w:rsid w:val="00AA3FC9"/>
    <w:rsid w:val="00AA4A3C"/>
    <w:rsid w:val="00AB3AC3"/>
    <w:rsid w:val="00AC7492"/>
    <w:rsid w:val="00AF07E2"/>
    <w:rsid w:val="00AF3810"/>
    <w:rsid w:val="00B016CC"/>
    <w:rsid w:val="00B02158"/>
    <w:rsid w:val="00B11EF7"/>
    <w:rsid w:val="00B14A70"/>
    <w:rsid w:val="00B2572F"/>
    <w:rsid w:val="00B3414E"/>
    <w:rsid w:val="00B44589"/>
    <w:rsid w:val="00B560E1"/>
    <w:rsid w:val="00B73A2C"/>
    <w:rsid w:val="00B77A9A"/>
    <w:rsid w:val="00B92AF1"/>
    <w:rsid w:val="00B947FB"/>
    <w:rsid w:val="00BA056F"/>
    <w:rsid w:val="00C21326"/>
    <w:rsid w:val="00C22F4E"/>
    <w:rsid w:val="00C36410"/>
    <w:rsid w:val="00C53EBD"/>
    <w:rsid w:val="00C74CB1"/>
    <w:rsid w:val="00C84467"/>
    <w:rsid w:val="00CB38A9"/>
    <w:rsid w:val="00CC1FA8"/>
    <w:rsid w:val="00CD3D1D"/>
    <w:rsid w:val="00D01AE7"/>
    <w:rsid w:val="00D07216"/>
    <w:rsid w:val="00D119EE"/>
    <w:rsid w:val="00D3030D"/>
    <w:rsid w:val="00D479A3"/>
    <w:rsid w:val="00D53C7D"/>
    <w:rsid w:val="00D5486D"/>
    <w:rsid w:val="00D578D1"/>
    <w:rsid w:val="00D65130"/>
    <w:rsid w:val="00D65832"/>
    <w:rsid w:val="00D81E30"/>
    <w:rsid w:val="00DC6339"/>
    <w:rsid w:val="00DE066A"/>
    <w:rsid w:val="00E259F6"/>
    <w:rsid w:val="00E31A0E"/>
    <w:rsid w:val="00E31F92"/>
    <w:rsid w:val="00E32BE8"/>
    <w:rsid w:val="00E614DC"/>
    <w:rsid w:val="00E820C9"/>
    <w:rsid w:val="00E969B9"/>
    <w:rsid w:val="00EA1835"/>
    <w:rsid w:val="00EC23D0"/>
    <w:rsid w:val="00ED7635"/>
    <w:rsid w:val="00F07530"/>
    <w:rsid w:val="00F10BF2"/>
    <w:rsid w:val="00F32DEA"/>
    <w:rsid w:val="00F35162"/>
    <w:rsid w:val="00F353EA"/>
    <w:rsid w:val="00F35CC7"/>
    <w:rsid w:val="00F42061"/>
    <w:rsid w:val="00F71447"/>
    <w:rsid w:val="00F85780"/>
    <w:rsid w:val="00FC1086"/>
    <w:rsid w:val="00FC3F2F"/>
    <w:rsid w:val="00FD75D5"/>
    <w:rsid w:val="00FD7760"/>
    <w:rsid w:val="00FE1CE7"/>
    <w:rsid w:val="03E1775F"/>
    <w:rsid w:val="03FF761E"/>
    <w:rsid w:val="075F3522"/>
    <w:rsid w:val="084C5688"/>
    <w:rsid w:val="0E7650B1"/>
    <w:rsid w:val="113C10E6"/>
    <w:rsid w:val="11901C11"/>
    <w:rsid w:val="127A45B1"/>
    <w:rsid w:val="13045469"/>
    <w:rsid w:val="14DF05F0"/>
    <w:rsid w:val="15C66635"/>
    <w:rsid w:val="176C32CC"/>
    <w:rsid w:val="17BB6387"/>
    <w:rsid w:val="19DA6E90"/>
    <w:rsid w:val="1DA87E76"/>
    <w:rsid w:val="236E0F7A"/>
    <w:rsid w:val="26835D3F"/>
    <w:rsid w:val="299C08EB"/>
    <w:rsid w:val="2AFA03CF"/>
    <w:rsid w:val="2D3A5D67"/>
    <w:rsid w:val="2F2F3D79"/>
    <w:rsid w:val="33D220F0"/>
    <w:rsid w:val="361538D9"/>
    <w:rsid w:val="363E129D"/>
    <w:rsid w:val="3A424A86"/>
    <w:rsid w:val="3EFF0E47"/>
    <w:rsid w:val="403304CE"/>
    <w:rsid w:val="41F32E3C"/>
    <w:rsid w:val="457B30A8"/>
    <w:rsid w:val="45FE3DC3"/>
    <w:rsid w:val="47211BA0"/>
    <w:rsid w:val="493A39EA"/>
    <w:rsid w:val="494B1B99"/>
    <w:rsid w:val="4A692833"/>
    <w:rsid w:val="595027EF"/>
    <w:rsid w:val="63327B9F"/>
    <w:rsid w:val="635167CE"/>
    <w:rsid w:val="67DC20EE"/>
    <w:rsid w:val="6AC00EF4"/>
    <w:rsid w:val="6C6A0C99"/>
    <w:rsid w:val="71F122D2"/>
    <w:rsid w:val="74493C73"/>
    <w:rsid w:val="774866C4"/>
    <w:rsid w:val="789A1EF3"/>
    <w:rsid w:val="7C1F175E"/>
    <w:rsid w:val="7DFC3B04"/>
    <w:rsid w:val="7E9A02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5">
    <w:name w:val="Title"/>
    <w:basedOn w:val="1"/>
    <w:link w:val="21"/>
    <w:qFormat/>
    <w:locked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6E6E6E"/>
      <w:u w:val="none"/>
    </w:rPr>
  </w:style>
  <w:style w:type="character" w:styleId="10">
    <w:name w:val="Emphasis"/>
    <w:basedOn w:val="7"/>
    <w:qFormat/>
    <w:locked/>
    <w:uiPriority w:val="0"/>
    <w:rPr>
      <w:u w:val="none"/>
    </w:rPr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Typewriter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semiHidden/>
    <w:unhideWhenUsed/>
    <w:qFormat/>
    <w:uiPriority w:val="99"/>
    <w:rPr>
      <w:color w:val="6E6E6E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hint="default" w:ascii="Courier New" w:hAnsi="Courier New" w:eastAsia="Courier New" w:cs="Courier New"/>
      <w:sz w:val="20"/>
    </w:rPr>
  </w:style>
  <w:style w:type="character" w:styleId="16">
    <w:name w:val="HTML Cite"/>
    <w:basedOn w:val="7"/>
    <w:semiHidden/>
    <w:unhideWhenUsed/>
    <w:uiPriority w:val="99"/>
  </w:style>
  <w:style w:type="character" w:styleId="17">
    <w:name w:val="HTML Keyboard"/>
    <w:basedOn w:val="7"/>
    <w:semiHidden/>
    <w:unhideWhenUsed/>
    <w:qFormat/>
    <w:uiPriority w:val="99"/>
    <w:rPr>
      <w:rFonts w:hint="default" w:ascii="Courier New" w:hAnsi="Courier New" w:eastAsia="Courier New" w:cs="Courier New"/>
      <w:sz w:val="20"/>
    </w:rPr>
  </w:style>
  <w:style w:type="character" w:styleId="18">
    <w:name w:val="HTML Sample"/>
    <w:basedOn w:val="7"/>
    <w:semiHidden/>
    <w:unhideWhenUsed/>
    <w:qFormat/>
    <w:uiPriority w:val="99"/>
    <w:rPr>
      <w:rFonts w:ascii="Courier New" w:hAnsi="Courier New" w:eastAsia="Courier New" w:cs="Courier New"/>
    </w:rPr>
  </w:style>
  <w:style w:type="character" w:customStyle="1" w:styleId="19">
    <w:name w:val="页脚 Char"/>
    <w:basedOn w:val="7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0">
    <w:name w:val="页眉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1">
    <w:name w:val="标题 Char"/>
    <w:basedOn w:val="7"/>
    <w:link w:val="5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2">
    <w:name w:val="hover1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2106</Words>
  <Characters>2232</Characters>
  <Lines>19</Lines>
  <Paragraphs>5</Paragraphs>
  <TotalTime>2</TotalTime>
  <ScaleCrop>false</ScaleCrop>
  <LinksUpToDate>false</LinksUpToDate>
  <CharactersWithSpaces>2237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2020-09-30T08:22:00Z</dcterms:created>
  <dc:creator>Administrator</dc:creator>
  <cp:lastModifiedBy>---</cp:lastModifiedBy>
  <cp:lastPrinted>2019-10-28T07:38:00Z</cp:lastPrinted>
  <dcterms:modified xsi:type="dcterms:W3CDTF">2023-11-21T02:40:44Z</dcterms:modified>
  <dc:title>信阳市羊山新区2017年部门预算说明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04754A4CA51E47AF95641427270090BD_13</vt:lpwstr>
  </property>
</Properties>
</file>